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after="312"/>
        <w:rPr>
          <w:color w:val="auto"/>
        </w:rPr>
      </w:pPr>
      <w:r>
        <w:rPr>
          <w:rFonts w:hint="eastAsia"/>
          <w:color w:val="auto"/>
        </w:rPr>
        <w:t>能源动力（电气工程）（本科起点）专业学位博士研究生培养方案</w:t>
      </w:r>
    </w:p>
    <w:p>
      <w:pPr>
        <w:spacing w:after="312" w:afterLines="100" w:line="360" w:lineRule="auto"/>
        <w:jc w:val="center"/>
        <w:outlineLvl w:val="1"/>
        <w:rPr>
          <w:color w:val="auto"/>
          <w:sz w:val="24"/>
        </w:rPr>
      </w:pPr>
      <w:r>
        <w:rPr>
          <w:color w:val="auto"/>
          <w:sz w:val="24"/>
        </w:rPr>
        <w:t>（</w:t>
      </w:r>
      <w:r>
        <w:rPr>
          <w:rFonts w:hint="eastAsia"/>
          <w:color w:val="auto"/>
          <w:sz w:val="24"/>
        </w:rPr>
        <w:t>类别</w:t>
      </w:r>
      <w:r>
        <w:rPr>
          <w:color w:val="auto"/>
          <w:sz w:val="24"/>
        </w:rPr>
        <w:t>代码：08</w:t>
      </w:r>
      <w:r>
        <w:rPr>
          <w:rFonts w:hint="eastAsia"/>
          <w:color w:val="auto"/>
          <w:sz w:val="24"/>
        </w:rPr>
        <w:t>5800</w:t>
      </w:r>
      <w:r>
        <w:rPr>
          <w:color w:val="auto"/>
          <w:sz w:val="24"/>
        </w:rPr>
        <w:t>，申请</w:t>
      </w:r>
      <w:r>
        <w:rPr>
          <w:rFonts w:hint="eastAsia"/>
          <w:color w:val="auto"/>
          <w:sz w:val="24"/>
        </w:rPr>
        <w:t>工程</w:t>
      </w:r>
      <w:r>
        <w:rPr>
          <w:color w:val="auto"/>
          <w:sz w:val="24"/>
        </w:rPr>
        <w:t>博士学位适用）</w:t>
      </w:r>
    </w:p>
    <w:p>
      <w:pPr>
        <w:pStyle w:val="4"/>
        <w:spacing w:before="156" w:after="156"/>
        <w:rPr>
          <w:color w:val="auto"/>
        </w:rPr>
      </w:pPr>
      <w:bookmarkStart w:id="0" w:name="_Toc20124"/>
      <w:r>
        <w:rPr>
          <w:color w:val="auto"/>
        </w:rPr>
        <w:t>一、培养目标</w:t>
      </w:r>
      <w:bookmarkEnd w:id="0"/>
    </w:p>
    <w:p>
      <w:pPr>
        <w:adjustRightInd w:val="0"/>
        <w:snapToGrid w:val="0"/>
        <w:spacing w:line="400" w:lineRule="exact"/>
        <w:ind w:firstLine="480" w:firstLineChars="200"/>
        <w:rPr>
          <w:color w:val="auto"/>
          <w:sz w:val="24"/>
        </w:rPr>
      </w:pPr>
      <w:bookmarkStart w:id="1" w:name="_Toc1003"/>
      <w:r>
        <w:rPr>
          <w:rFonts w:hint="eastAsia"/>
          <w:color w:val="auto"/>
          <w:sz w:val="24"/>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前沿发展的学术领军后备人才。具体要求为：</w:t>
      </w:r>
    </w:p>
    <w:p>
      <w:pPr>
        <w:adjustRightInd w:val="0"/>
        <w:snapToGrid w:val="0"/>
        <w:spacing w:line="400" w:lineRule="exact"/>
        <w:ind w:firstLine="480" w:firstLineChars="200"/>
        <w:rPr>
          <w:sz w:val="24"/>
        </w:rPr>
      </w:pPr>
      <w:r>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pPr>
        <w:spacing w:line="400" w:lineRule="exact"/>
        <w:ind w:firstLine="480" w:firstLineChars="200"/>
        <w:rPr>
          <w:bCs/>
          <w:color w:val="auto"/>
          <w:sz w:val="24"/>
        </w:rPr>
      </w:pPr>
      <w:r>
        <w:rPr>
          <w:rFonts w:hint="eastAsia"/>
          <w:bCs/>
          <w:sz w:val="24"/>
        </w:rPr>
        <w:t>（</w:t>
      </w:r>
      <w:r>
        <w:rPr>
          <w:rFonts w:hint="eastAsia"/>
          <w:bCs/>
          <w:color w:val="auto"/>
          <w:sz w:val="24"/>
        </w:rPr>
        <w:t>二）掌握电气工程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pPr>
        <w:spacing w:line="400" w:lineRule="exact"/>
        <w:ind w:firstLine="480" w:firstLineChars="200"/>
        <w:rPr>
          <w:bCs/>
          <w:sz w:val="24"/>
        </w:rPr>
      </w:pPr>
      <w:r>
        <w:rPr>
          <w:rFonts w:hint="eastAsia"/>
          <w:bCs/>
          <w:color w:val="auto"/>
          <w:sz w:val="24"/>
        </w:rPr>
        <w:t>（三）积极参加文体活动，具有良好的心理素质和健康的体魄，树立正确的审美观念，形成积极的文化主体意识和创新意识，具备良好的人文素养和道德情</w:t>
      </w:r>
      <w:r>
        <w:rPr>
          <w:rFonts w:hint="eastAsia"/>
          <w:bCs/>
          <w:sz w:val="24"/>
        </w:rPr>
        <w:t>操；</w:t>
      </w:r>
    </w:p>
    <w:p>
      <w:pPr>
        <w:spacing w:line="400" w:lineRule="exact"/>
        <w:ind w:firstLine="480" w:firstLineChars="200"/>
        <w:rPr>
          <w:bCs/>
          <w:sz w:val="24"/>
        </w:rPr>
      </w:pPr>
      <w:r>
        <w:rPr>
          <w:rFonts w:hint="eastAsia"/>
          <w:bCs/>
          <w:sz w:val="24"/>
        </w:rPr>
        <w:t>（四）积极结合工程实际岗位，进行专业综合实践和应用能力训练，形成良好劳动习惯。</w:t>
      </w:r>
    </w:p>
    <w:p>
      <w:pPr>
        <w:pStyle w:val="4"/>
        <w:tabs>
          <w:tab w:val="left" w:pos="2489"/>
        </w:tabs>
        <w:spacing w:before="156" w:after="156"/>
        <w:rPr>
          <w:color w:val="auto"/>
        </w:rPr>
      </w:pPr>
      <w:r>
        <w:t>二、研</w:t>
      </w:r>
      <w:r>
        <w:rPr>
          <w:color w:val="auto"/>
        </w:rPr>
        <w:t>究方向</w:t>
      </w:r>
      <w:bookmarkEnd w:id="1"/>
    </w:p>
    <w:p>
      <w:pPr>
        <w:adjustRightInd w:val="0"/>
        <w:snapToGrid w:val="0"/>
        <w:spacing w:line="400" w:lineRule="exact"/>
        <w:ind w:firstLine="480" w:firstLineChars="200"/>
        <w:rPr>
          <w:color w:val="auto"/>
          <w:sz w:val="24"/>
          <w:highlight w:val="none"/>
        </w:rPr>
      </w:pPr>
      <w:bookmarkStart w:id="2" w:name="_Toc29350"/>
      <w:r>
        <w:rPr>
          <w:rFonts w:hint="eastAsia"/>
          <w:color w:val="auto"/>
          <w:sz w:val="24"/>
          <w:highlight w:val="none"/>
        </w:rPr>
        <w:t>（一）电力系统及其自动化</w:t>
      </w:r>
    </w:p>
    <w:p>
      <w:pPr>
        <w:adjustRightInd w:val="0"/>
        <w:snapToGrid w:val="0"/>
        <w:spacing w:line="400" w:lineRule="exact"/>
        <w:ind w:firstLine="480" w:firstLineChars="200"/>
        <w:rPr>
          <w:color w:val="auto"/>
          <w:sz w:val="24"/>
          <w:highlight w:val="none"/>
        </w:rPr>
      </w:pPr>
      <w:r>
        <w:rPr>
          <w:rFonts w:hint="eastAsia"/>
          <w:color w:val="auto"/>
          <w:sz w:val="24"/>
          <w:highlight w:val="none"/>
        </w:rPr>
        <w:t>（二）电力电子与</w:t>
      </w:r>
      <w:r>
        <w:rPr>
          <w:color w:val="auto"/>
          <w:sz w:val="24"/>
          <w:highlight w:val="none"/>
        </w:rPr>
        <w:t>电能变换</w:t>
      </w:r>
    </w:p>
    <w:p>
      <w:pPr>
        <w:adjustRightInd w:val="0"/>
        <w:snapToGrid w:val="0"/>
        <w:spacing w:line="400" w:lineRule="exact"/>
        <w:ind w:firstLine="480" w:firstLineChars="200"/>
        <w:rPr>
          <w:color w:val="auto"/>
          <w:sz w:val="24"/>
          <w:highlight w:val="none"/>
        </w:rPr>
      </w:pPr>
      <w:r>
        <w:rPr>
          <w:rFonts w:hint="eastAsia"/>
          <w:color w:val="auto"/>
          <w:sz w:val="24"/>
          <w:highlight w:val="none"/>
        </w:rPr>
        <w:t>（三）高电压与绝缘技术</w:t>
      </w:r>
    </w:p>
    <w:p>
      <w:pPr>
        <w:adjustRightInd w:val="0"/>
        <w:snapToGrid w:val="0"/>
        <w:spacing w:line="400" w:lineRule="exact"/>
        <w:ind w:firstLine="480" w:firstLineChars="200"/>
        <w:rPr>
          <w:color w:val="auto"/>
          <w:sz w:val="24"/>
          <w:highlight w:val="none"/>
        </w:rPr>
      </w:pPr>
      <w:r>
        <w:rPr>
          <w:rFonts w:hint="eastAsia"/>
          <w:color w:val="auto"/>
          <w:sz w:val="24"/>
          <w:highlight w:val="none"/>
        </w:rPr>
        <w:t>（四）</w:t>
      </w:r>
      <w:r>
        <w:rPr>
          <w:color w:val="auto"/>
          <w:sz w:val="24"/>
          <w:highlight w:val="none"/>
        </w:rPr>
        <w:t>新能源发电与电能存储</w:t>
      </w:r>
    </w:p>
    <w:p>
      <w:pPr>
        <w:adjustRightInd w:val="0"/>
        <w:snapToGrid w:val="0"/>
        <w:spacing w:line="400" w:lineRule="exact"/>
        <w:ind w:firstLine="480" w:firstLineChars="200"/>
        <w:rPr>
          <w:color w:val="auto"/>
          <w:sz w:val="24"/>
          <w:highlight w:val="none"/>
        </w:rPr>
      </w:pPr>
      <w:r>
        <w:rPr>
          <w:rFonts w:hint="eastAsia"/>
          <w:color w:val="auto"/>
          <w:sz w:val="24"/>
          <w:highlight w:val="none"/>
        </w:rPr>
        <w:t>（五）电工理论与新技术</w:t>
      </w:r>
    </w:p>
    <w:p>
      <w:pPr>
        <w:pStyle w:val="4"/>
        <w:spacing w:before="156" w:after="156"/>
      </w:pPr>
      <w:r>
        <w:t>三、学制及学习年限</w:t>
      </w:r>
      <w:bookmarkEnd w:id="2"/>
    </w:p>
    <w:p>
      <w:pPr>
        <w:spacing w:line="400" w:lineRule="exact"/>
        <w:ind w:firstLine="480"/>
        <w:rPr>
          <w:bCs/>
          <w:color w:val="auto"/>
          <w:sz w:val="24"/>
        </w:rPr>
      </w:pPr>
      <w:bookmarkStart w:id="3" w:name="_Toc10799"/>
      <w:r>
        <w:rPr>
          <w:rFonts w:hint="eastAsia"/>
          <w:color w:val="auto"/>
          <w:sz w:val="24"/>
        </w:rPr>
        <w:t>能源动力（电气工程）</w:t>
      </w:r>
      <w:r>
        <w:rPr>
          <w:rFonts w:hint="eastAsia"/>
          <w:color w:val="auto"/>
          <w:kern w:val="0"/>
          <w:sz w:val="24"/>
        </w:rPr>
        <w:t>（本科起点）</w:t>
      </w:r>
      <w:r>
        <w:rPr>
          <w:rFonts w:hint="eastAsia"/>
          <w:color w:val="auto"/>
          <w:sz w:val="24"/>
        </w:rPr>
        <w:t>专业学位博士研究生学制为5年，学习年限一般为5</w:t>
      </w:r>
      <w:r>
        <w:rPr>
          <w:color w:val="auto"/>
          <w:sz w:val="24"/>
        </w:rPr>
        <w:t>-</w:t>
      </w:r>
      <w:r>
        <w:rPr>
          <w:rFonts w:hint="eastAsia"/>
          <w:color w:val="auto"/>
          <w:sz w:val="24"/>
        </w:rPr>
        <w:t>6年，全日制最长不超过8年。</w:t>
      </w:r>
    </w:p>
    <w:p>
      <w:pPr>
        <w:spacing w:line="400" w:lineRule="exact"/>
        <w:ind w:firstLine="480" w:firstLineChars="200"/>
        <w:rPr>
          <w:bCs/>
          <w:sz w:val="24"/>
        </w:rPr>
      </w:pPr>
      <w:r>
        <w:rPr>
          <w:rFonts w:hint="eastAsia"/>
          <w:bCs/>
          <w:color w:val="auto"/>
          <w:sz w:val="24"/>
        </w:rPr>
        <w:t>休学创业的研究生，最长学习</w:t>
      </w:r>
      <w:r>
        <w:rPr>
          <w:rFonts w:hint="eastAsia"/>
          <w:bCs/>
          <w:sz w:val="24"/>
        </w:rPr>
        <w:t>年限为</w:t>
      </w:r>
      <w:r>
        <w:rPr>
          <w:bCs/>
          <w:sz w:val="24"/>
        </w:rPr>
        <w:t>10</w:t>
      </w:r>
      <w:r>
        <w:rPr>
          <w:rFonts w:hint="eastAsia"/>
          <w:bCs/>
          <w:sz w:val="24"/>
        </w:rPr>
        <w:t>年。</w:t>
      </w:r>
    </w:p>
    <w:p>
      <w:pPr>
        <w:pStyle w:val="4"/>
        <w:spacing w:before="156" w:after="156"/>
      </w:pPr>
      <w:r>
        <w:t>四、课程设置及学分要求</w:t>
      </w:r>
      <w:bookmarkEnd w:id="3"/>
    </w:p>
    <w:p>
      <w:pPr>
        <w:adjustRightInd w:val="0"/>
        <w:snapToGrid w:val="0"/>
        <w:spacing w:line="400" w:lineRule="exact"/>
        <w:ind w:firstLine="480" w:firstLineChars="200"/>
        <w:rPr>
          <w:sz w:val="24"/>
        </w:rPr>
      </w:pPr>
      <w:r>
        <w:rPr>
          <w:sz w:val="24"/>
        </w:rPr>
        <w:t>（一）学分要求</w:t>
      </w:r>
    </w:p>
    <w:p>
      <w:pPr>
        <w:adjustRightInd w:val="0"/>
        <w:snapToGrid w:val="0"/>
        <w:spacing w:line="400" w:lineRule="exact"/>
        <w:ind w:firstLine="480" w:firstLineChars="200"/>
        <w:rPr>
          <w:sz w:val="24"/>
        </w:rPr>
      </w:pPr>
      <w:r>
        <w:rPr>
          <w:rFonts w:hint="eastAsia"/>
          <w:sz w:val="24"/>
        </w:rPr>
        <w:t>总学分数为≥4</w:t>
      </w:r>
      <w:r>
        <w:rPr>
          <w:sz w:val="24"/>
        </w:rPr>
        <w:t>2</w:t>
      </w:r>
      <w:r>
        <w:rPr>
          <w:rFonts w:hint="eastAsia"/>
          <w:sz w:val="24"/>
        </w:rPr>
        <w:t>学分，其中课程学习学分为≥3</w:t>
      </w:r>
      <w:r>
        <w:rPr>
          <w:sz w:val="24"/>
        </w:rPr>
        <w:t>5</w:t>
      </w:r>
      <w:r>
        <w:rPr>
          <w:rFonts w:hint="eastAsia"/>
          <w:sz w:val="24"/>
        </w:rPr>
        <w:t>学分，必修环节学分为7学分。所修课程由公共学位课、专业学位课和选修课三部分组成，其中公共学位课≥11学分，专业学位课≥14学分，选修课≥1</w:t>
      </w:r>
      <w:r>
        <w:rPr>
          <w:sz w:val="24"/>
        </w:rPr>
        <w:t>0</w:t>
      </w:r>
      <w:r>
        <w:rPr>
          <w:rFonts w:hint="eastAsia"/>
          <w:sz w:val="24"/>
        </w:rPr>
        <w:t>学分。</w:t>
      </w:r>
      <w:r>
        <w:rPr>
          <w:sz w:val="24"/>
        </w:rPr>
        <w:t>必修环节包括：专业实践5学分、学术活动1学分、选题报告1学分。</w:t>
      </w:r>
    </w:p>
    <w:p>
      <w:pPr>
        <w:adjustRightInd w:val="0"/>
        <w:snapToGrid w:val="0"/>
        <w:spacing w:line="400" w:lineRule="exact"/>
        <w:ind w:firstLine="480" w:firstLineChars="200"/>
        <w:rPr>
          <w:sz w:val="24"/>
        </w:rPr>
      </w:pPr>
      <w:r>
        <w:rPr>
          <w:sz w:val="24"/>
        </w:rPr>
        <w:t>（二）课程设置</w:t>
      </w:r>
    </w:p>
    <w:tbl>
      <w:tblPr>
        <w:tblStyle w:val="10"/>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2"/>
        <w:gridCol w:w="771"/>
        <w:gridCol w:w="1134"/>
        <w:gridCol w:w="1701"/>
        <w:gridCol w:w="567"/>
        <w:gridCol w:w="567"/>
        <w:gridCol w:w="567"/>
        <w:gridCol w:w="574"/>
        <w:gridCol w:w="1122"/>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9" w:hRule="atLeast"/>
          <w:tblHeader/>
          <w:jc w:val="center"/>
        </w:trPr>
        <w:tc>
          <w:tcPr>
            <w:tcW w:w="1072"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r>
              <w:rPr>
                <w:b/>
                <w:bCs/>
                <w:sz w:val="22"/>
              </w:rPr>
              <w:t>课程</w:t>
            </w:r>
          </w:p>
          <w:p>
            <w:pPr>
              <w:widowControl/>
              <w:autoSpaceDE w:val="0"/>
              <w:autoSpaceDN w:val="0"/>
              <w:adjustRightInd w:val="0"/>
              <w:snapToGrid w:val="0"/>
              <w:jc w:val="center"/>
              <w:rPr>
                <w:b/>
                <w:kern w:val="0"/>
                <w:sz w:val="22"/>
              </w:rPr>
            </w:pPr>
            <w:r>
              <w:rPr>
                <w:b/>
                <w:bCs/>
                <w:sz w:val="22"/>
              </w:rPr>
              <w:t>类别</w:t>
            </w:r>
          </w:p>
        </w:tc>
        <w:tc>
          <w:tcPr>
            <w:tcW w:w="771"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课程</w:t>
            </w:r>
          </w:p>
          <w:p>
            <w:pPr>
              <w:widowControl/>
              <w:autoSpaceDE w:val="0"/>
              <w:autoSpaceDN w:val="0"/>
              <w:adjustRightInd w:val="0"/>
              <w:snapToGrid w:val="0"/>
              <w:jc w:val="center"/>
              <w:rPr>
                <w:b/>
                <w:kern w:val="0"/>
                <w:sz w:val="22"/>
              </w:rPr>
            </w:pPr>
            <w:r>
              <w:rPr>
                <w:b/>
                <w:bCs/>
                <w:sz w:val="22"/>
              </w:rPr>
              <w:t>类型</w:t>
            </w:r>
          </w:p>
        </w:tc>
        <w:tc>
          <w:tcPr>
            <w:tcW w:w="1134"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课程编号</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课程名称</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r>
              <w:rPr>
                <w:b/>
                <w:bCs/>
                <w:sz w:val="22"/>
              </w:rPr>
              <w:t>理论</w:t>
            </w:r>
          </w:p>
          <w:p>
            <w:pPr>
              <w:widowControl/>
              <w:autoSpaceDE w:val="0"/>
              <w:autoSpaceDN w:val="0"/>
              <w:adjustRightInd w:val="0"/>
              <w:snapToGrid w:val="0"/>
              <w:jc w:val="center"/>
              <w:rPr>
                <w:b/>
                <w:kern w:val="0"/>
                <w:sz w:val="22"/>
              </w:rPr>
            </w:pPr>
            <w:r>
              <w:rPr>
                <w:b/>
                <w:bCs/>
                <w:sz w:val="22"/>
              </w:rPr>
              <w:t>学时</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r>
              <w:rPr>
                <w:b/>
                <w:bCs/>
                <w:sz w:val="22"/>
              </w:rPr>
              <w:t>实验</w:t>
            </w:r>
          </w:p>
          <w:p>
            <w:pPr>
              <w:widowControl/>
              <w:autoSpaceDE w:val="0"/>
              <w:autoSpaceDN w:val="0"/>
              <w:adjustRightInd w:val="0"/>
              <w:snapToGrid w:val="0"/>
              <w:jc w:val="center"/>
              <w:rPr>
                <w:b/>
                <w:kern w:val="0"/>
                <w:sz w:val="22"/>
              </w:rPr>
            </w:pPr>
            <w:r>
              <w:rPr>
                <w:b/>
                <w:bCs/>
                <w:sz w:val="22"/>
              </w:rPr>
              <w:t>学时</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学分</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r>
              <w:rPr>
                <w:b/>
                <w:bCs/>
                <w:sz w:val="22"/>
              </w:rPr>
              <w:t>开课</w:t>
            </w:r>
          </w:p>
          <w:p>
            <w:pPr>
              <w:widowControl/>
              <w:autoSpaceDE w:val="0"/>
              <w:autoSpaceDN w:val="0"/>
              <w:adjustRightInd w:val="0"/>
              <w:snapToGrid w:val="0"/>
              <w:jc w:val="center"/>
              <w:rPr>
                <w:b/>
                <w:bCs/>
                <w:sz w:val="22"/>
              </w:rPr>
            </w:pPr>
            <w:r>
              <w:rPr>
                <w:b/>
                <w:bCs/>
                <w:sz w:val="22"/>
              </w:rPr>
              <w:t>学期</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b/>
                <w:bCs/>
                <w:sz w:val="22"/>
              </w:rPr>
            </w:pPr>
            <w:r>
              <w:rPr>
                <w:b/>
                <w:bCs/>
                <w:sz w:val="22"/>
              </w:rPr>
              <w:t>开课</w:t>
            </w:r>
          </w:p>
          <w:p>
            <w:pPr>
              <w:widowControl/>
              <w:autoSpaceDE w:val="0"/>
              <w:autoSpaceDN w:val="0"/>
              <w:adjustRightInd w:val="0"/>
              <w:snapToGrid w:val="0"/>
              <w:jc w:val="center"/>
              <w:rPr>
                <w:b/>
                <w:bCs/>
                <w:sz w:val="22"/>
              </w:rPr>
            </w:pPr>
            <w:r>
              <w:rPr>
                <w:b/>
                <w:bCs/>
                <w:sz w:val="22"/>
              </w:rPr>
              <w:t>单位</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b/>
                <w:kern w:val="0"/>
                <w:sz w:val="22"/>
              </w:rPr>
            </w:pPr>
            <w:r>
              <w:rPr>
                <w:b/>
                <w:bCs/>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公共</w:t>
            </w:r>
          </w:p>
          <w:p>
            <w:pPr>
              <w:widowControl/>
              <w:autoSpaceDE w:val="0"/>
              <w:autoSpaceDN w:val="0"/>
              <w:adjustRightInd w:val="0"/>
              <w:snapToGrid w:val="0"/>
              <w:jc w:val="center"/>
              <w:rPr>
                <w:sz w:val="22"/>
                <w:szCs w:val="22"/>
              </w:rPr>
            </w:pPr>
            <w:r>
              <w:rPr>
                <w:sz w:val="22"/>
                <w:szCs w:val="22"/>
              </w:rPr>
              <w:t>学位课</w:t>
            </w:r>
          </w:p>
          <w:p>
            <w:pPr>
              <w:autoSpaceDE w:val="0"/>
              <w:autoSpaceDN w:val="0"/>
              <w:adjustRightInd w:val="0"/>
              <w:snapToGrid w:val="0"/>
              <w:jc w:val="center"/>
              <w:rPr>
                <w:sz w:val="22"/>
                <w:szCs w:val="22"/>
              </w:rPr>
            </w:pPr>
            <w:r>
              <w:rPr>
                <w:sz w:val="22"/>
                <w:szCs w:val="22"/>
              </w:rPr>
              <w:t>（</w:t>
            </w:r>
            <w:r>
              <w:rPr>
                <w:rFonts w:hint="eastAsia"/>
                <w:sz w:val="22"/>
                <w:szCs w:val="22"/>
              </w:rPr>
              <w:t>11</w:t>
            </w:r>
            <w:r>
              <w:rPr>
                <w:sz w:val="22"/>
                <w:szCs w:val="22"/>
              </w:rPr>
              <w:t>学分）</w:t>
            </w:r>
          </w:p>
        </w:tc>
        <w:tc>
          <w:tcPr>
            <w:tcW w:w="771" w:type="dxa"/>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外语</w:t>
            </w:r>
          </w:p>
          <w:p>
            <w:pPr>
              <w:autoSpaceDE w:val="0"/>
              <w:autoSpaceDN w:val="0"/>
              <w:adjustRightInd w:val="0"/>
              <w:snapToGrid w:val="0"/>
              <w:jc w:val="center"/>
              <w:rPr>
                <w:sz w:val="22"/>
                <w:szCs w:val="22"/>
              </w:rPr>
            </w:pPr>
            <w:r>
              <w:rPr>
                <w:sz w:val="22"/>
                <w:szCs w:val="22"/>
              </w:rPr>
              <w:t>（4学分）</w:t>
            </w:r>
          </w:p>
        </w:tc>
        <w:tc>
          <w:tcPr>
            <w:tcW w:w="1134" w:type="dxa"/>
            <w:tcMar>
              <w:top w:w="85" w:type="dxa"/>
              <w:left w:w="57" w:type="dxa"/>
              <w:bottom w:w="85" w:type="dxa"/>
              <w:right w:w="57" w:type="dxa"/>
            </w:tcMar>
          </w:tcPr>
          <w:p>
            <w:pPr>
              <w:widowControl/>
              <w:jc w:val="center"/>
              <w:rPr>
                <w:sz w:val="22"/>
                <w:szCs w:val="22"/>
              </w:rPr>
            </w:pPr>
            <w:r>
              <w:rPr>
                <w:sz w:val="22"/>
              </w:rPr>
              <w:t>60200123001</w:t>
            </w:r>
          </w:p>
        </w:tc>
        <w:tc>
          <w:tcPr>
            <w:tcW w:w="1701" w:type="dxa"/>
            <w:tcMar>
              <w:top w:w="85" w:type="dxa"/>
              <w:left w:w="57" w:type="dxa"/>
              <w:bottom w:w="85" w:type="dxa"/>
              <w:right w:w="57" w:type="dxa"/>
            </w:tcMar>
            <w:vAlign w:val="center"/>
          </w:tcPr>
          <w:p>
            <w:pPr>
              <w:jc w:val="center"/>
              <w:rPr>
                <w:sz w:val="22"/>
                <w:szCs w:val="22"/>
              </w:rPr>
            </w:pPr>
            <w:r>
              <w:rPr>
                <w:sz w:val="22"/>
                <w:szCs w:val="22"/>
              </w:rPr>
              <w:t>科技英语阅读与写作</w:t>
            </w:r>
            <w:r>
              <w:rPr>
                <w:rFonts w:hint="eastAsia"/>
                <w:sz w:val="22"/>
                <w:szCs w:val="22"/>
              </w:rPr>
              <w:t>（高阶）</w:t>
            </w:r>
          </w:p>
        </w:tc>
        <w:tc>
          <w:tcPr>
            <w:tcW w:w="567" w:type="dxa"/>
            <w:tcMar>
              <w:top w:w="85" w:type="dxa"/>
              <w:left w:w="57" w:type="dxa"/>
              <w:bottom w:w="85" w:type="dxa"/>
              <w:right w:w="57" w:type="dxa"/>
            </w:tcMar>
            <w:vAlign w:val="center"/>
          </w:tcPr>
          <w:p>
            <w:pPr>
              <w:jc w:val="center"/>
              <w:rPr>
                <w:sz w:val="22"/>
                <w:szCs w:val="22"/>
              </w:rPr>
            </w:pPr>
            <w:r>
              <w:rPr>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restart"/>
            <w:tcMar>
              <w:top w:w="85" w:type="dxa"/>
              <w:left w:w="57" w:type="dxa"/>
              <w:bottom w:w="85" w:type="dxa"/>
              <w:right w:w="57" w:type="dxa"/>
            </w:tcMar>
            <w:vAlign w:val="center"/>
          </w:tcPr>
          <w:p>
            <w:pPr>
              <w:jc w:val="center"/>
              <w:rPr>
                <w:sz w:val="22"/>
                <w:szCs w:val="22"/>
              </w:rPr>
            </w:pPr>
            <w:r>
              <w:rPr>
                <w:rFonts w:hint="eastAsia"/>
                <w:sz w:val="22"/>
                <w:szCs w:val="22"/>
              </w:rPr>
              <w:t>任选</w:t>
            </w:r>
          </w:p>
          <w:p>
            <w:pPr>
              <w:widowControl/>
              <w:autoSpaceDE w:val="0"/>
              <w:autoSpaceDN w:val="0"/>
              <w:adjustRightInd w:val="0"/>
              <w:snapToGrid w:val="0"/>
              <w:jc w:val="center"/>
              <w:rPr>
                <w:sz w:val="22"/>
                <w:szCs w:val="22"/>
              </w:rPr>
            </w:pPr>
            <w:r>
              <w:rPr>
                <w:sz w:val="22"/>
                <w:szCs w:val="22"/>
              </w:rPr>
              <w:t>2</w:t>
            </w:r>
            <w:r>
              <w:rPr>
                <w:rFonts w:hint="eastAsia"/>
                <w:sz w:val="22"/>
                <w:szCs w:val="22"/>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tcPr>
          <w:p>
            <w:pPr>
              <w:widowControl/>
              <w:jc w:val="center"/>
              <w:rPr>
                <w:sz w:val="22"/>
                <w:szCs w:val="22"/>
              </w:rPr>
            </w:pPr>
            <w:r>
              <w:rPr>
                <w:sz w:val="22"/>
              </w:rPr>
              <w:t>60200123002</w:t>
            </w:r>
          </w:p>
        </w:tc>
        <w:tc>
          <w:tcPr>
            <w:tcW w:w="1701" w:type="dxa"/>
            <w:tcMar>
              <w:top w:w="85" w:type="dxa"/>
              <w:left w:w="57" w:type="dxa"/>
              <w:bottom w:w="85" w:type="dxa"/>
              <w:right w:w="57" w:type="dxa"/>
            </w:tcMar>
            <w:vAlign w:val="center"/>
          </w:tcPr>
          <w:p>
            <w:pPr>
              <w:jc w:val="center"/>
              <w:rPr>
                <w:sz w:val="22"/>
                <w:szCs w:val="22"/>
              </w:rPr>
            </w:pPr>
            <w:r>
              <w:rPr>
                <w:sz w:val="22"/>
                <w:szCs w:val="22"/>
              </w:rPr>
              <w:t>英语演讲</w:t>
            </w:r>
            <w:r>
              <w:rPr>
                <w:rFonts w:hint="eastAsia"/>
                <w:sz w:val="22"/>
                <w:szCs w:val="22"/>
              </w:rPr>
              <w:t>（高阶）</w:t>
            </w:r>
          </w:p>
        </w:tc>
        <w:tc>
          <w:tcPr>
            <w:tcW w:w="567" w:type="dxa"/>
            <w:tcMar>
              <w:top w:w="85" w:type="dxa"/>
              <w:left w:w="57" w:type="dxa"/>
              <w:bottom w:w="85" w:type="dxa"/>
              <w:right w:w="57" w:type="dxa"/>
            </w:tcMar>
            <w:vAlign w:val="center"/>
          </w:tcPr>
          <w:p>
            <w:pPr>
              <w:jc w:val="center"/>
              <w:rPr>
                <w:sz w:val="22"/>
                <w:szCs w:val="22"/>
              </w:rPr>
            </w:pPr>
            <w:r>
              <w:rPr>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40200123001</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学术英语读写</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40200123002</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学术英语交流</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40200123003</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雅思考试技巧与实践</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40200123004</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托福考试技巧与实践</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40200123005</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翻译技巧与实践</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40200123006</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名剧民品</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40200123007</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英语公共演讲</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40200123008</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研究生英语听说实践</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40200123009</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跨文化交际</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40200123010</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科技英语实训</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40200123011</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英语论语导读</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40200123012</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学术阅读策略</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rFonts w:eastAsia="等线"/>
                <w:sz w:val="22"/>
                <w:szCs w:val="22"/>
              </w:rPr>
              <w:t>40200123013</w:t>
            </w:r>
          </w:p>
        </w:tc>
        <w:tc>
          <w:tcPr>
            <w:tcW w:w="1701" w:type="dxa"/>
            <w:tcMar>
              <w:top w:w="85" w:type="dxa"/>
              <w:left w:w="57" w:type="dxa"/>
              <w:bottom w:w="85" w:type="dxa"/>
              <w:right w:w="57" w:type="dxa"/>
            </w:tcMar>
            <w:vAlign w:val="center"/>
          </w:tcPr>
          <w:p>
            <w:pPr>
              <w:jc w:val="center"/>
              <w:rPr>
                <w:sz w:val="22"/>
                <w:szCs w:val="22"/>
              </w:rPr>
            </w:pPr>
            <w:r>
              <w:rPr>
                <w:rFonts w:hint="eastAsia"/>
                <w:sz w:val="22"/>
                <w:szCs w:val="22"/>
              </w:rPr>
              <w:t>学术英语交流与表达</w:t>
            </w: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rFonts w:eastAsia="等线"/>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1</w:t>
            </w:r>
            <w:r>
              <w:rPr>
                <w:rFonts w:hint="eastAsia"/>
                <w:sz w:val="22"/>
                <w:szCs w:val="22"/>
              </w:rPr>
              <w:t>、</w:t>
            </w: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92" w:hRule="atLeast"/>
          <w:jc w:val="center"/>
        </w:trPr>
        <w:tc>
          <w:tcPr>
            <w:tcW w:w="1072"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sz w:val="22"/>
                <w:szCs w:val="22"/>
              </w:rPr>
            </w:pPr>
            <w:r>
              <w:rPr>
                <w:sz w:val="22"/>
                <w:szCs w:val="22"/>
              </w:rPr>
              <w:t>40200123014-017</w:t>
            </w:r>
          </w:p>
        </w:tc>
        <w:tc>
          <w:tcPr>
            <w:tcW w:w="1701" w:type="dxa"/>
            <w:tcMar>
              <w:top w:w="85" w:type="dxa"/>
              <w:left w:w="57" w:type="dxa"/>
              <w:bottom w:w="85" w:type="dxa"/>
              <w:right w:w="57" w:type="dxa"/>
            </w:tcMar>
            <w:vAlign w:val="center"/>
          </w:tcPr>
          <w:p>
            <w:pPr>
              <w:jc w:val="center"/>
              <w:rPr>
                <w:sz w:val="22"/>
                <w:szCs w:val="22"/>
              </w:rPr>
            </w:pPr>
            <w:r>
              <w:rPr>
                <w:sz w:val="22"/>
                <w:szCs w:val="22"/>
              </w:rPr>
              <w:t>第一外国语</w:t>
            </w:r>
          </w:p>
          <w:p>
            <w:pPr>
              <w:jc w:val="center"/>
              <w:rPr>
                <w:sz w:val="22"/>
                <w:szCs w:val="22"/>
              </w:rPr>
            </w:pPr>
            <w:r>
              <w:rPr>
                <w:sz w:val="22"/>
                <w:szCs w:val="22"/>
              </w:rPr>
              <w:t>（日、法、德、俄语）</w:t>
            </w:r>
          </w:p>
        </w:tc>
        <w:tc>
          <w:tcPr>
            <w:tcW w:w="567" w:type="dxa"/>
            <w:tcMar>
              <w:top w:w="85" w:type="dxa"/>
              <w:left w:w="57" w:type="dxa"/>
              <w:bottom w:w="85" w:type="dxa"/>
              <w:right w:w="57" w:type="dxa"/>
            </w:tcMar>
            <w:vAlign w:val="center"/>
          </w:tcPr>
          <w:p>
            <w:pPr>
              <w:jc w:val="center"/>
              <w:rPr>
                <w:sz w:val="22"/>
                <w:szCs w:val="22"/>
              </w:rPr>
            </w:pPr>
            <w:r>
              <w:rPr>
                <w:sz w:val="22"/>
                <w:szCs w:val="22"/>
              </w:rPr>
              <w:t>36</w:t>
            </w:r>
          </w:p>
        </w:tc>
        <w:tc>
          <w:tcPr>
            <w:tcW w:w="567" w:type="dxa"/>
            <w:tcMar>
              <w:top w:w="85" w:type="dxa"/>
              <w:left w:w="57" w:type="dxa"/>
              <w:bottom w:w="85" w:type="dxa"/>
              <w:right w:w="57" w:type="dxa"/>
            </w:tcMar>
            <w:vAlign w:val="center"/>
          </w:tcPr>
          <w:p>
            <w:pPr>
              <w:jc w:val="center"/>
              <w:rPr>
                <w:sz w:val="22"/>
                <w:szCs w:val="22"/>
              </w:rPr>
            </w:pPr>
          </w:p>
        </w:tc>
        <w:tc>
          <w:tcPr>
            <w:tcW w:w="567" w:type="dxa"/>
            <w:tcMar>
              <w:top w:w="85" w:type="dxa"/>
              <w:left w:w="57" w:type="dxa"/>
              <w:bottom w:w="85" w:type="dxa"/>
              <w:right w:w="57" w:type="dxa"/>
            </w:tcMar>
            <w:vAlign w:val="center"/>
          </w:tcPr>
          <w:p>
            <w:pPr>
              <w:jc w:val="center"/>
              <w:rPr>
                <w:sz w:val="22"/>
                <w:szCs w:val="22"/>
              </w:rPr>
            </w:pPr>
            <w:r>
              <w:rPr>
                <w:sz w:val="22"/>
                <w:szCs w:val="22"/>
              </w:rPr>
              <w:t>2</w:t>
            </w:r>
          </w:p>
        </w:tc>
        <w:tc>
          <w:tcPr>
            <w:tcW w:w="574" w:type="dxa"/>
            <w:tcMar>
              <w:top w:w="85" w:type="dxa"/>
              <w:left w:w="57" w:type="dxa"/>
              <w:bottom w:w="85" w:type="dxa"/>
              <w:right w:w="57" w:type="dxa"/>
            </w:tcMar>
            <w:vAlign w:val="center"/>
          </w:tcPr>
          <w:p>
            <w:pPr>
              <w:jc w:val="center"/>
              <w:rPr>
                <w:sz w:val="22"/>
                <w:szCs w:val="22"/>
              </w:rPr>
            </w:pPr>
            <w:r>
              <w:rPr>
                <w:sz w:val="22"/>
                <w:szCs w:val="22"/>
              </w:rPr>
              <w:t>2</w:t>
            </w:r>
          </w:p>
        </w:tc>
        <w:tc>
          <w:tcPr>
            <w:tcW w:w="1122" w:type="dxa"/>
            <w:tcMar>
              <w:top w:w="85" w:type="dxa"/>
              <w:left w:w="57" w:type="dxa"/>
              <w:bottom w:w="85" w:type="dxa"/>
              <w:right w:w="57" w:type="dxa"/>
            </w:tcMar>
            <w:vAlign w:val="center"/>
          </w:tcPr>
          <w:p>
            <w:pPr>
              <w:jc w:val="center"/>
              <w:rPr>
                <w:sz w:val="22"/>
                <w:szCs w:val="22"/>
              </w:rPr>
            </w:pPr>
            <w:r>
              <w:rPr>
                <w:sz w:val="22"/>
                <w:szCs w:val="22"/>
              </w:rPr>
              <w:t>外国语</w:t>
            </w:r>
          </w:p>
          <w:p>
            <w:pPr>
              <w:jc w:val="center"/>
              <w:rPr>
                <w:sz w:val="22"/>
                <w:szCs w:val="22"/>
              </w:rPr>
            </w:pPr>
            <w:r>
              <w:rPr>
                <w:sz w:val="22"/>
                <w:szCs w:val="22"/>
              </w:rPr>
              <w:t>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40"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771"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思政</w:t>
            </w:r>
          </w:p>
          <w:p>
            <w:pPr>
              <w:widowControl/>
              <w:autoSpaceDE w:val="0"/>
              <w:autoSpaceDN w:val="0"/>
              <w:adjustRightInd w:val="0"/>
              <w:snapToGrid w:val="0"/>
              <w:jc w:val="center"/>
              <w:rPr>
                <w:sz w:val="22"/>
                <w:szCs w:val="22"/>
              </w:rPr>
            </w:pPr>
            <w:r>
              <w:rPr>
                <w:sz w:val="22"/>
                <w:szCs w:val="22"/>
              </w:rPr>
              <w:t>（2学分）</w:t>
            </w:r>
          </w:p>
        </w:tc>
        <w:tc>
          <w:tcPr>
            <w:tcW w:w="1134"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sz w:val="22"/>
              </w:rPr>
              <w:t>60210123001</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中国马克思主义与当代</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36</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2</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1</w:t>
            </w:r>
          </w:p>
        </w:tc>
        <w:tc>
          <w:tcPr>
            <w:tcW w:w="1122"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马克思主义学院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4"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771" w:type="dxa"/>
            <w:vMerge w:val="restart"/>
            <w:tcMar>
              <w:top w:w="85" w:type="dxa"/>
              <w:left w:w="57" w:type="dxa"/>
              <w:bottom w:w="85" w:type="dxa"/>
              <w:right w:w="57" w:type="dxa"/>
            </w:tcMar>
            <w:vAlign w:val="center"/>
          </w:tcPr>
          <w:p>
            <w:pPr>
              <w:ind w:left="-105" w:leftChars="-50" w:right="-105" w:rightChars="-50"/>
              <w:jc w:val="center"/>
              <w:rPr>
                <w:sz w:val="22"/>
              </w:rPr>
            </w:pPr>
            <w:r>
              <w:rPr>
                <w:sz w:val="22"/>
              </w:rPr>
              <w:t>数学</w:t>
            </w:r>
          </w:p>
          <w:p>
            <w:pPr>
              <w:widowControl/>
              <w:autoSpaceDE w:val="0"/>
              <w:autoSpaceDN w:val="0"/>
              <w:adjustRightInd w:val="0"/>
              <w:snapToGrid w:val="0"/>
              <w:jc w:val="center"/>
              <w:rPr>
                <w:sz w:val="22"/>
                <w:szCs w:val="22"/>
              </w:rPr>
            </w:pPr>
            <w:r>
              <w:rPr>
                <w:sz w:val="22"/>
              </w:rPr>
              <w:t>（</w:t>
            </w:r>
            <w:r>
              <w:rPr>
                <w:rFonts w:hint="eastAsia"/>
                <w:sz w:val="22"/>
              </w:rPr>
              <w:t>4</w:t>
            </w:r>
            <w:r>
              <w:rPr>
                <w:sz w:val="22"/>
              </w:rPr>
              <w:t>学分）</w:t>
            </w:r>
          </w:p>
        </w:tc>
        <w:tc>
          <w:tcPr>
            <w:tcW w:w="1134" w:type="dxa"/>
            <w:tcMar>
              <w:top w:w="85" w:type="dxa"/>
              <w:left w:w="57" w:type="dxa"/>
              <w:bottom w:w="85" w:type="dxa"/>
              <w:right w:w="57" w:type="dxa"/>
            </w:tcMar>
            <w:vAlign w:val="center"/>
          </w:tcPr>
          <w:p>
            <w:pPr>
              <w:widowControl/>
              <w:jc w:val="center"/>
              <w:rPr>
                <w:color w:val="FF0000"/>
                <w:sz w:val="22"/>
                <w:szCs w:val="22"/>
              </w:rPr>
            </w:pPr>
            <w:r>
              <w:rPr>
                <w:rFonts w:hint="eastAsia"/>
                <w:sz w:val="22"/>
                <w:szCs w:val="22"/>
              </w:rPr>
              <w:t>50150123001</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rPr>
              <w:t>数学物理方法</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1</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lang w:val="en-US" w:eastAsia="zh-CN"/>
              </w:rPr>
              <w:t>数统</w:t>
            </w:r>
            <w:r>
              <w:rPr>
                <w:rFonts w:hint="eastAsia"/>
                <w:bCs/>
                <w:kern w:val="0"/>
                <w:sz w:val="22"/>
              </w:rPr>
              <w:t>学院</w:t>
            </w:r>
          </w:p>
        </w:tc>
        <w:tc>
          <w:tcPr>
            <w:tcW w:w="709" w:type="dxa"/>
            <w:vMerge w:val="restart"/>
            <w:tcMar>
              <w:top w:w="85" w:type="dxa"/>
              <w:left w:w="57" w:type="dxa"/>
              <w:bottom w:w="85" w:type="dxa"/>
              <w:right w:w="57" w:type="dxa"/>
            </w:tcMar>
            <w:vAlign w:val="center"/>
          </w:tcPr>
          <w:p>
            <w:pPr>
              <w:jc w:val="center"/>
              <w:rPr>
                <w:sz w:val="22"/>
                <w:szCs w:val="22"/>
              </w:rPr>
            </w:pPr>
            <w:r>
              <w:rPr>
                <w:rFonts w:hint="eastAsia"/>
                <w:sz w:val="22"/>
                <w:szCs w:val="22"/>
              </w:rPr>
              <w:t>任选</w:t>
            </w:r>
          </w:p>
          <w:p>
            <w:pPr>
              <w:widowControl/>
              <w:autoSpaceDE w:val="0"/>
              <w:autoSpaceDN w:val="0"/>
              <w:adjustRightInd w:val="0"/>
              <w:snapToGrid w:val="0"/>
              <w:jc w:val="center"/>
              <w:rPr>
                <w:sz w:val="22"/>
                <w:szCs w:val="22"/>
              </w:rPr>
            </w:pPr>
            <w:r>
              <w:rPr>
                <w:rFonts w:hint="eastAsia"/>
                <w:sz w:val="22"/>
                <w:szCs w:val="22"/>
              </w:rPr>
              <w:t>2门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4"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ind w:left="-105" w:leftChars="-50" w:right="-105" w:rightChars="-50"/>
              <w:jc w:val="center"/>
              <w:rPr>
                <w:sz w:val="22"/>
              </w:rPr>
            </w:pPr>
          </w:p>
        </w:tc>
        <w:tc>
          <w:tcPr>
            <w:tcW w:w="1134" w:type="dxa"/>
            <w:tcMar>
              <w:top w:w="85" w:type="dxa"/>
              <w:left w:w="57" w:type="dxa"/>
              <w:bottom w:w="85" w:type="dxa"/>
              <w:right w:w="57" w:type="dxa"/>
            </w:tcMar>
            <w:vAlign w:val="center"/>
          </w:tcPr>
          <w:p>
            <w:pPr>
              <w:widowControl/>
              <w:jc w:val="center"/>
              <w:rPr>
                <w:color w:val="FF0000"/>
                <w:sz w:val="22"/>
                <w:szCs w:val="22"/>
              </w:rPr>
            </w:pPr>
            <w:r>
              <w:rPr>
                <w:rFonts w:hint="eastAsia"/>
                <w:sz w:val="22"/>
                <w:szCs w:val="22"/>
              </w:rPr>
              <w:t>50150123002</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rPr>
              <w:t>矩阵分析</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1</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lang w:val="en-US" w:eastAsia="zh-CN"/>
              </w:rPr>
              <w:t>数统</w:t>
            </w:r>
            <w:r>
              <w:rPr>
                <w:rFonts w:hint="eastAsia"/>
                <w:bCs/>
                <w:kern w:val="0"/>
                <w:sz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4"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ind w:left="-105" w:leftChars="-50" w:right="-105" w:rightChars="-50"/>
              <w:jc w:val="center"/>
              <w:rPr>
                <w:sz w:val="22"/>
              </w:rPr>
            </w:pPr>
          </w:p>
        </w:tc>
        <w:tc>
          <w:tcPr>
            <w:tcW w:w="1134" w:type="dxa"/>
            <w:tcMar>
              <w:top w:w="85" w:type="dxa"/>
              <w:left w:w="57" w:type="dxa"/>
              <w:bottom w:w="85" w:type="dxa"/>
              <w:right w:w="57" w:type="dxa"/>
            </w:tcMar>
            <w:vAlign w:val="center"/>
          </w:tcPr>
          <w:p>
            <w:pPr>
              <w:widowControl/>
              <w:jc w:val="center"/>
              <w:rPr>
                <w:color w:val="FF0000"/>
                <w:sz w:val="22"/>
                <w:szCs w:val="22"/>
              </w:rPr>
            </w:pPr>
            <w:r>
              <w:rPr>
                <w:rFonts w:hint="eastAsia"/>
                <w:sz w:val="22"/>
                <w:szCs w:val="22"/>
              </w:rPr>
              <w:t>50150123003</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rPr>
              <w:t>统计计算</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1</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lang w:val="en-US" w:eastAsia="zh-CN"/>
              </w:rPr>
              <w:t>数统</w:t>
            </w:r>
            <w:r>
              <w:rPr>
                <w:rFonts w:hint="eastAsia"/>
                <w:bCs/>
                <w:kern w:val="0"/>
                <w:sz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4"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ind w:left="-105" w:leftChars="-50" w:right="-105" w:rightChars="-50"/>
              <w:jc w:val="center"/>
              <w:rPr>
                <w:sz w:val="22"/>
              </w:rPr>
            </w:pPr>
          </w:p>
        </w:tc>
        <w:tc>
          <w:tcPr>
            <w:tcW w:w="1134" w:type="dxa"/>
            <w:tcMar>
              <w:top w:w="85" w:type="dxa"/>
              <w:left w:w="57" w:type="dxa"/>
              <w:bottom w:w="85" w:type="dxa"/>
              <w:right w:w="57" w:type="dxa"/>
            </w:tcMar>
            <w:vAlign w:val="center"/>
          </w:tcPr>
          <w:p>
            <w:pPr>
              <w:widowControl/>
              <w:jc w:val="center"/>
              <w:rPr>
                <w:color w:val="FF0000"/>
                <w:sz w:val="22"/>
                <w:szCs w:val="22"/>
              </w:rPr>
            </w:pPr>
            <w:r>
              <w:rPr>
                <w:rFonts w:hint="eastAsia"/>
                <w:sz w:val="22"/>
                <w:szCs w:val="22"/>
              </w:rPr>
              <w:t>50150123004</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rPr>
              <w:t>随机过程</w:t>
            </w:r>
            <w:bookmarkStart w:id="8" w:name="_GoBack"/>
            <w:bookmarkEnd w:id="8"/>
            <w:r>
              <w:rPr>
                <w:rFonts w:hint="eastAsia"/>
                <w:bCs/>
                <w:kern w:val="0"/>
                <w:sz w:val="22"/>
              </w:rPr>
              <w:t>及应用</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2</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lang w:val="en-US" w:eastAsia="zh-CN"/>
              </w:rPr>
              <w:t>数统</w:t>
            </w:r>
            <w:r>
              <w:rPr>
                <w:rFonts w:hint="eastAsia"/>
                <w:bCs/>
                <w:kern w:val="0"/>
                <w:sz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7"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ind w:left="-105" w:leftChars="-50" w:right="-105" w:rightChars="-50"/>
              <w:jc w:val="center"/>
              <w:rPr>
                <w:sz w:val="22"/>
              </w:rPr>
            </w:pPr>
          </w:p>
        </w:tc>
        <w:tc>
          <w:tcPr>
            <w:tcW w:w="1134" w:type="dxa"/>
            <w:tcMar>
              <w:top w:w="85" w:type="dxa"/>
              <w:left w:w="57" w:type="dxa"/>
              <w:bottom w:w="85" w:type="dxa"/>
              <w:right w:w="57" w:type="dxa"/>
            </w:tcMar>
            <w:vAlign w:val="center"/>
          </w:tcPr>
          <w:p>
            <w:pPr>
              <w:widowControl/>
              <w:jc w:val="center"/>
              <w:rPr>
                <w:color w:val="FF0000"/>
                <w:sz w:val="22"/>
                <w:szCs w:val="22"/>
              </w:rPr>
            </w:pPr>
            <w:r>
              <w:rPr>
                <w:rFonts w:hint="eastAsia"/>
                <w:sz w:val="22"/>
                <w:szCs w:val="22"/>
              </w:rPr>
              <w:t>50150123005</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rPr>
              <w:t>数值计算</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2</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lang w:val="en-US" w:eastAsia="zh-CN"/>
              </w:rPr>
              <w:t>数统</w:t>
            </w:r>
            <w:r>
              <w:rPr>
                <w:rFonts w:hint="eastAsia"/>
                <w:bCs/>
                <w:kern w:val="0"/>
                <w:sz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29"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771"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jc w:val="center"/>
              <w:rPr>
                <w:color w:val="FF0000"/>
                <w:sz w:val="22"/>
                <w:szCs w:val="22"/>
              </w:rPr>
            </w:pPr>
            <w:r>
              <w:rPr>
                <w:rFonts w:hint="eastAsia"/>
                <w:sz w:val="22"/>
                <w:szCs w:val="22"/>
              </w:rPr>
              <w:t>50150123006</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rPr>
              <w:t>数学建模</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bCs/>
                <w:kern w:val="0"/>
                <w:sz w:val="22"/>
              </w:rPr>
              <w:t>2</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bCs/>
                <w:kern w:val="0"/>
                <w:sz w:val="22"/>
                <w:lang w:val="en-US" w:eastAsia="zh-CN"/>
              </w:rPr>
              <w:t>数统</w:t>
            </w:r>
            <w:r>
              <w:rPr>
                <w:rFonts w:hint="eastAsia"/>
                <w:bCs/>
                <w:kern w:val="0"/>
                <w:sz w:val="22"/>
              </w:rPr>
              <w:t>学院</w:t>
            </w:r>
          </w:p>
        </w:tc>
        <w:tc>
          <w:tcPr>
            <w:tcW w:w="709"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87" w:hRule="atLeast"/>
          <w:jc w:val="center"/>
        </w:trPr>
        <w:tc>
          <w:tcPr>
            <w:tcW w:w="1072" w:type="dxa"/>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771" w:type="dxa"/>
            <w:tcMar>
              <w:top w:w="85" w:type="dxa"/>
              <w:left w:w="57" w:type="dxa"/>
              <w:bottom w:w="85" w:type="dxa"/>
              <w:right w:w="57" w:type="dxa"/>
            </w:tcMar>
            <w:vAlign w:val="center"/>
          </w:tcPr>
          <w:p>
            <w:pPr>
              <w:ind w:left="-105" w:leftChars="-50" w:right="-105" w:rightChars="-50"/>
              <w:jc w:val="center"/>
              <w:rPr>
                <w:sz w:val="22"/>
              </w:rPr>
            </w:pPr>
            <w:r>
              <w:rPr>
                <w:sz w:val="22"/>
              </w:rPr>
              <w:t>工程</w:t>
            </w:r>
          </w:p>
          <w:p>
            <w:pPr>
              <w:ind w:left="-105" w:leftChars="-50" w:right="-105" w:rightChars="-50"/>
              <w:jc w:val="center"/>
              <w:rPr>
                <w:sz w:val="22"/>
              </w:rPr>
            </w:pPr>
            <w:r>
              <w:rPr>
                <w:sz w:val="22"/>
              </w:rPr>
              <w:t>伦理</w:t>
            </w:r>
          </w:p>
          <w:p>
            <w:pPr>
              <w:widowControl/>
              <w:autoSpaceDE w:val="0"/>
              <w:autoSpaceDN w:val="0"/>
              <w:adjustRightInd w:val="0"/>
              <w:snapToGrid w:val="0"/>
              <w:jc w:val="center"/>
              <w:rPr>
                <w:sz w:val="22"/>
                <w:szCs w:val="22"/>
              </w:rPr>
            </w:pPr>
            <w:r>
              <w:rPr>
                <w:sz w:val="22"/>
              </w:rPr>
              <w:t>（1学分）</w:t>
            </w:r>
          </w:p>
        </w:tc>
        <w:tc>
          <w:tcPr>
            <w:tcW w:w="1134" w:type="dxa"/>
            <w:tcMar>
              <w:top w:w="85" w:type="dxa"/>
              <w:left w:w="57" w:type="dxa"/>
              <w:bottom w:w="85" w:type="dxa"/>
              <w:right w:w="57" w:type="dxa"/>
            </w:tcMar>
            <w:vAlign w:val="center"/>
          </w:tcPr>
          <w:p>
            <w:pPr>
              <w:widowControl/>
              <w:jc w:val="center"/>
              <w:rPr>
                <w:sz w:val="22"/>
                <w:szCs w:val="22"/>
              </w:rPr>
            </w:pPr>
            <w:r>
              <w:rPr>
                <w:sz w:val="22"/>
              </w:rPr>
              <w:t>70210123001</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rFonts w:hint="eastAsia" w:hAnsi="宋体"/>
                <w:kern w:val="0"/>
                <w:sz w:val="22"/>
              </w:rPr>
              <w:t>工程伦理学</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kern w:val="0"/>
                <w:sz w:val="22"/>
              </w:rPr>
              <w:t>18</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kern w:val="0"/>
                <w:sz w:val="22"/>
              </w:rPr>
              <w:t>1</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kern w:val="0"/>
                <w:sz w:val="22"/>
              </w:rPr>
              <w:t>2</w:t>
            </w:r>
          </w:p>
        </w:tc>
        <w:tc>
          <w:tcPr>
            <w:tcW w:w="1122" w:type="dxa"/>
            <w:tcMar>
              <w:top w:w="85" w:type="dxa"/>
              <w:left w:w="57" w:type="dxa"/>
              <w:bottom w:w="85" w:type="dxa"/>
              <w:right w:w="57" w:type="dxa"/>
            </w:tcMar>
            <w:vAlign w:val="center"/>
          </w:tcPr>
          <w:p>
            <w:pPr>
              <w:widowControl/>
              <w:jc w:val="center"/>
              <w:rPr>
                <w:kern w:val="0"/>
                <w:sz w:val="22"/>
              </w:rPr>
            </w:pPr>
            <w:r>
              <w:rPr>
                <w:rFonts w:hAnsi="宋体"/>
                <w:kern w:val="0"/>
                <w:sz w:val="22"/>
              </w:rPr>
              <w:t>马克思</w:t>
            </w:r>
          </w:p>
          <w:p>
            <w:pPr>
              <w:widowControl/>
              <w:autoSpaceDE w:val="0"/>
              <w:autoSpaceDN w:val="0"/>
              <w:adjustRightInd w:val="0"/>
              <w:snapToGrid w:val="0"/>
              <w:jc w:val="center"/>
              <w:rPr>
                <w:sz w:val="22"/>
                <w:szCs w:val="22"/>
              </w:rPr>
            </w:pPr>
            <w:r>
              <w:rPr>
                <w:rFonts w:hAnsi="宋体"/>
                <w:kern w:val="0"/>
                <w:sz w:val="22"/>
              </w:rPr>
              <w:t>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专业</w:t>
            </w:r>
          </w:p>
          <w:p>
            <w:pPr>
              <w:widowControl/>
              <w:autoSpaceDE w:val="0"/>
              <w:autoSpaceDN w:val="0"/>
              <w:adjustRightInd w:val="0"/>
              <w:snapToGrid w:val="0"/>
              <w:jc w:val="center"/>
              <w:rPr>
                <w:sz w:val="22"/>
                <w:szCs w:val="22"/>
              </w:rPr>
            </w:pPr>
            <w:r>
              <w:rPr>
                <w:sz w:val="22"/>
                <w:szCs w:val="22"/>
              </w:rPr>
              <w:t>学位课</w:t>
            </w:r>
          </w:p>
          <w:p>
            <w:pPr>
              <w:autoSpaceDE w:val="0"/>
              <w:autoSpaceDN w:val="0"/>
              <w:adjustRightInd w:val="0"/>
              <w:snapToGrid w:val="0"/>
              <w:jc w:val="center"/>
              <w:rPr>
                <w:sz w:val="22"/>
                <w:szCs w:val="22"/>
              </w:rPr>
            </w:pPr>
            <w:r>
              <w:rPr>
                <w:sz w:val="22"/>
                <w:szCs w:val="22"/>
              </w:rPr>
              <w:t>（14学分）</w:t>
            </w:r>
          </w:p>
        </w:tc>
        <w:tc>
          <w:tcPr>
            <w:tcW w:w="113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jc w:val="center"/>
              <w:rPr>
                <w:rFonts w:eastAsia="等线"/>
                <w:color w:val="auto"/>
                <w:sz w:val="22"/>
                <w:szCs w:val="22"/>
              </w:rPr>
            </w:pPr>
            <w:r>
              <w:rPr>
                <w:bCs/>
                <w:color w:val="auto"/>
                <w:sz w:val="22"/>
              </w:rPr>
              <w:t>50130224005</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电力电子装置设计与应用</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1</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jc w:val="center"/>
              <w:rPr>
                <w:rFonts w:eastAsia="等线"/>
                <w:color w:val="auto"/>
                <w:sz w:val="22"/>
                <w:szCs w:val="22"/>
              </w:rPr>
            </w:pPr>
            <w:r>
              <w:rPr>
                <w:color w:val="auto"/>
              </w:rPr>
              <w:t>40130224011</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kern w:val="0"/>
                <w:sz w:val="22"/>
              </w:rPr>
              <w:t>电力系统规划与可靠性</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jc w:val="center"/>
              <w:rPr>
                <w:rFonts w:eastAsia="等线"/>
                <w:color w:val="auto"/>
                <w:sz w:val="22"/>
                <w:szCs w:val="22"/>
              </w:rPr>
            </w:pPr>
            <w:r>
              <w:rPr>
                <w:color w:val="auto"/>
              </w:rPr>
              <w:t>40130224012</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现代控制理论</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1</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jc w:val="center"/>
              <w:rPr>
                <w:rFonts w:eastAsia="等线"/>
                <w:color w:val="auto"/>
                <w:sz w:val="22"/>
                <w:szCs w:val="22"/>
              </w:rPr>
            </w:pPr>
            <w:r>
              <w:rPr>
                <w:bCs/>
                <w:color w:val="auto"/>
                <w:sz w:val="22"/>
              </w:rPr>
              <w:t>50130224006</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现代数字信号处理</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2</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jc w:val="center"/>
              <w:rPr>
                <w:rFonts w:eastAsia="等线"/>
                <w:color w:val="auto"/>
                <w:sz w:val="22"/>
                <w:szCs w:val="22"/>
              </w:rPr>
            </w:pPr>
            <w:r>
              <w:rPr>
                <w:color w:val="auto"/>
              </w:rPr>
              <w:t>40130224014</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高等电路与网络分析</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jc w:val="center"/>
              <w:rPr>
                <w:rFonts w:eastAsia="等线"/>
                <w:color w:val="auto"/>
                <w:sz w:val="22"/>
                <w:szCs w:val="22"/>
              </w:rPr>
            </w:pPr>
            <w:r>
              <w:rPr>
                <w:color w:val="auto"/>
              </w:rPr>
              <w:t>40130224015</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kern w:val="0"/>
                <w:sz w:val="22"/>
              </w:rPr>
              <w:t>电力能源互联网技术</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1</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jc w:val="center"/>
              <w:rPr>
                <w:rFonts w:eastAsia="等线"/>
                <w:color w:val="auto"/>
                <w:sz w:val="22"/>
                <w:szCs w:val="22"/>
              </w:rPr>
            </w:pPr>
            <w:r>
              <w:rPr>
                <w:bCs/>
                <w:color w:val="auto"/>
                <w:sz w:val="22"/>
              </w:rPr>
              <w:t>50130224007</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kern w:val="0"/>
                <w:sz w:val="22"/>
              </w:rPr>
              <w:t>电磁干扰防护与电磁兼容设计</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jc w:val="center"/>
              <w:rPr>
                <w:rFonts w:eastAsia="等线"/>
                <w:color w:val="auto"/>
                <w:sz w:val="22"/>
                <w:szCs w:val="22"/>
              </w:rPr>
            </w:pPr>
            <w:r>
              <w:rPr>
                <w:color w:val="auto"/>
              </w:rPr>
              <w:t>40130224016</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kern w:val="0"/>
                <w:sz w:val="22"/>
              </w:rPr>
              <w:t>电池储能技术</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36</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sz w:val="22"/>
                <w:szCs w:val="21"/>
              </w:rPr>
              <w:t>2</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sz w:val="22"/>
                <w:szCs w:val="21"/>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widowControl/>
              <w:jc w:val="center"/>
              <w:rPr>
                <w:rFonts w:eastAsia="等线"/>
                <w:color w:val="auto"/>
                <w:sz w:val="22"/>
                <w:szCs w:val="22"/>
              </w:rPr>
            </w:pPr>
            <w:r>
              <w:rPr>
                <w:bCs/>
                <w:color w:val="auto"/>
                <w:sz w:val="22"/>
              </w:rPr>
              <w:t>50130224008</w:t>
            </w:r>
          </w:p>
        </w:tc>
        <w:tc>
          <w:tcPr>
            <w:tcW w:w="1701"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kern w:val="0"/>
                <w:sz w:val="22"/>
              </w:rPr>
              <w:t>科学研究方法与科技论文写作</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18</w:t>
            </w: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p>
        </w:tc>
        <w:tc>
          <w:tcPr>
            <w:tcW w:w="567"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1</w:t>
            </w:r>
          </w:p>
        </w:tc>
        <w:tc>
          <w:tcPr>
            <w:tcW w:w="574"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bCs/>
                <w:color w:val="auto"/>
                <w:kern w:val="0"/>
                <w:sz w:val="22"/>
              </w:rPr>
              <w:t>2</w:t>
            </w:r>
          </w:p>
        </w:tc>
        <w:tc>
          <w:tcPr>
            <w:tcW w:w="1122" w:type="dxa"/>
            <w:tcBorders>
              <w:top w:val="single" w:color="auto" w:sz="4" w:space="0"/>
              <w:left w:val="single" w:color="auto" w:sz="4" w:space="0"/>
              <w:bottom w:val="single" w:color="auto" w:sz="4" w:space="0"/>
              <w:right w:val="single" w:color="auto" w:sz="4" w:space="0"/>
            </w:tcBorders>
            <w:tcMar>
              <w:top w:w="85" w:type="dxa"/>
              <w:left w:w="57" w:type="dxa"/>
              <w:bottom w:w="85" w:type="dxa"/>
              <w:right w:w="57" w:type="dxa"/>
            </w:tcMar>
            <w:vAlign w:val="center"/>
          </w:tcPr>
          <w:p>
            <w:pPr>
              <w:jc w:val="center"/>
              <w:rPr>
                <w:color w:val="auto"/>
                <w:sz w:val="22"/>
                <w:szCs w:val="22"/>
              </w:rPr>
            </w:pPr>
            <w:r>
              <w:rPr>
                <w:rFonts w:hint="eastAsia"/>
                <w:bCs/>
                <w:color w:val="auto"/>
                <w:kern w:val="0"/>
                <w:sz w:val="22"/>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nil"/>
              <w:left w:val="single" w:color="auto" w:sz="4" w:space="0"/>
              <w:bottom w:val="single" w:color="auto" w:sz="4" w:space="0"/>
              <w:right w:val="single" w:color="auto" w:sz="4" w:space="0"/>
            </w:tcBorders>
            <w:shd w:val="clear" w:color="auto" w:fill="auto"/>
            <w:tcMar>
              <w:top w:w="85" w:type="dxa"/>
              <w:left w:w="57" w:type="dxa"/>
              <w:bottom w:w="85" w:type="dxa"/>
              <w:right w:w="57" w:type="dxa"/>
            </w:tcMar>
            <w:vAlign w:val="center"/>
          </w:tcPr>
          <w:p>
            <w:pPr>
              <w:widowControl/>
              <w:jc w:val="center"/>
              <w:rPr>
                <w:rFonts w:hint="default" w:eastAsia="等线" w:asciiTheme="minorHAnsi" w:hAnsiTheme="minorHAnsi" w:cstheme="minorBidi"/>
                <w:color w:val="auto"/>
                <w:kern w:val="2"/>
                <w:sz w:val="22"/>
                <w:szCs w:val="22"/>
                <w:lang w:val="en-US" w:eastAsia="zh-CN" w:bidi="ar-SA"/>
              </w:rPr>
            </w:pPr>
            <w:r>
              <w:rPr>
                <w:rFonts w:hint="eastAsia" w:eastAsia="等线"/>
                <w:color w:val="auto"/>
                <w:sz w:val="22"/>
                <w:szCs w:val="22"/>
                <w:lang w:val="en-US" w:eastAsia="zh-CN"/>
              </w:rPr>
              <w:t>60130224002</w:t>
            </w:r>
          </w:p>
        </w:tc>
        <w:tc>
          <w:tcPr>
            <w:tcW w:w="1701" w:type="dxa"/>
            <w:tcBorders>
              <w:top w:val="nil"/>
              <w:left w:val="nil"/>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r>
              <w:rPr>
                <w:color w:val="auto"/>
                <w:sz w:val="24"/>
              </w:rPr>
              <w:t>系统优化与智能控制</w:t>
            </w:r>
          </w:p>
        </w:tc>
        <w:tc>
          <w:tcPr>
            <w:tcW w:w="567" w:type="dxa"/>
            <w:tcBorders>
              <w:top w:val="nil"/>
              <w:left w:val="single" w:color="auto" w:sz="4" w:space="0"/>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r>
              <w:rPr>
                <w:color w:val="auto"/>
                <w:sz w:val="24"/>
              </w:rPr>
              <w:t>36</w:t>
            </w:r>
          </w:p>
        </w:tc>
        <w:tc>
          <w:tcPr>
            <w:tcW w:w="567" w:type="dxa"/>
            <w:tcBorders>
              <w:top w:val="nil"/>
              <w:left w:val="nil"/>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p>
        </w:tc>
        <w:tc>
          <w:tcPr>
            <w:tcW w:w="567" w:type="dxa"/>
            <w:tcBorders>
              <w:top w:val="nil"/>
              <w:left w:val="nil"/>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r>
              <w:rPr>
                <w:color w:val="auto"/>
                <w:sz w:val="24"/>
              </w:rPr>
              <w:t>2</w:t>
            </w:r>
          </w:p>
        </w:tc>
        <w:tc>
          <w:tcPr>
            <w:tcW w:w="574" w:type="dxa"/>
            <w:tcBorders>
              <w:top w:val="nil"/>
              <w:left w:val="nil"/>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r>
              <w:rPr>
                <w:color w:val="auto"/>
                <w:sz w:val="24"/>
              </w:rPr>
              <w:t>2</w:t>
            </w:r>
          </w:p>
        </w:tc>
        <w:tc>
          <w:tcPr>
            <w:tcW w:w="1122" w:type="dxa"/>
            <w:shd w:val="clear" w:color="auto" w:fill="auto"/>
            <w:tcMar>
              <w:top w:w="85" w:type="dxa"/>
              <w:left w:w="57" w:type="dxa"/>
              <w:bottom w:w="85" w:type="dxa"/>
              <w:right w:w="57" w:type="dxa"/>
            </w:tcMar>
            <w:vAlign w:val="center"/>
          </w:tcPr>
          <w:p>
            <w:pPr>
              <w:jc w:val="center"/>
              <w:rPr>
                <w:color w:val="auto"/>
                <w:sz w:val="22"/>
                <w:szCs w:val="22"/>
              </w:rPr>
            </w:pPr>
            <w:r>
              <w:rPr>
                <w:color w:val="auto"/>
                <w:sz w:val="24"/>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Borders>
              <w:top w:val="nil"/>
              <w:left w:val="single" w:color="auto" w:sz="4" w:space="0"/>
              <w:bottom w:val="single" w:color="auto" w:sz="4" w:space="0"/>
              <w:right w:val="single" w:color="auto" w:sz="4" w:space="0"/>
            </w:tcBorders>
            <w:shd w:val="clear" w:color="auto" w:fill="auto"/>
            <w:tcMar>
              <w:top w:w="85" w:type="dxa"/>
              <w:left w:w="57" w:type="dxa"/>
              <w:bottom w:w="85" w:type="dxa"/>
              <w:right w:w="57" w:type="dxa"/>
            </w:tcMar>
            <w:vAlign w:val="center"/>
          </w:tcPr>
          <w:p>
            <w:pPr>
              <w:widowControl/>
              <w:jc w:val="center"/>
              <w:rPr>
                <w:rFonts w:hint="default" w:eastAsia="等线"/>
                <w:color w:val="auto"/>
                <w:sz w:val="22"/>
                <w:szCs w:val="22"/>
                <w:lang w:val="en-US"/>
              </w:rPr>
            </w:pPr>
            <w:r>
              <w:rPr>
                <w:rFonts w:hint="eastAsia" w:eastAsia="等线"/>
                <w:color w:val="auto"/>
                <w:sz w:val="22"/>
                <w:szCs w:val="22"/>
                <w:lang w:val="en-US" w:eastAsia="zh-CN"/>
              </w:rPr>
              <w:t>70130224001</w:t>
            </w:r>
          </w:p>
        </w:tc>
        <w:tc>
          <w:tcPr>
            <w:tcW w:w="1701" w:type="dxa"/>
            <w:tcBorders>
              <w:top w:val="nil"/>
              <w:left w:val="nil"/>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r>
              <w:rPr>
                <w:rFonts w:hint="eastAsia"/>
                <w:color w:val="auto"/>
                <w:sz w:val="24"/>
              </w:rPr>
              <w:t>新型电力系统理论与技术</w:t>
            </w:r>
          </w:p>
        </w:tc>
        <w:tc>
          <w:tcPr>
            <w:tcW w:w="567" w:type="dxa"/>
            <w:tcBorders>
              <w:top w:val="nil"/>
              <w:left w:val="single" w:color="auto" w:sz="4" w:space="0"/>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r>
              <w:rPr>
                <w:color w:val="auto"/>
                <w:sz w:val="24"/>
              </w:rPr>
              <w:t>36</w:t>
            </w:r>
          </w:p>
        </w:tc>
        <w:tc>
          <w:tcPr>
            <w:tcW w:w="567" w:type="dxa"/>
            <w:tcBorders>
              <w:top w:val="nil"/>
              <w:left w:val="nil"/>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p>
        </w:tc>
        <w:tc>
          <w:tcPr>
            <w:tcW w:w="567" w:type="dxa"/>
            <w:tcBorders>
              <w:top w:val="nil"/>
              <w:left w:val="nil"/>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r>
              <w:rPr>
                <w:color w:val="auto"/>
                <w:sz w:val="24"/>
              </w:rPr>
              <w:t>2</w:t>
            </w:r>
          </w:p>
        </w:tc>
        <w:tc>
          <w:tcPr>
            <w:tcW w:w="574" w:type="dxa"/>
            <w:tcBorders>
              <w:top w:val="nil"/>
              <w:left w:val="nil"/>
              <w:bottom w:val="single" w:color="auto" w:sz="4" w:space="0"/>
              <w:right w:val="single" w:color="auto" w:sz="4" w:space="0"/>
            </w:tcBorders>
            <w:shd w:val="clear" w:color="auto" w:fill="auto"/>
            <w:tcMar>
              <w:top w:w="85" w:type="dxa"/>
              <w:left w:w="57" w:type="dxa"/>
              <w:bottom w:w="85" w:type="dxa"/>
              <w:right w:w="57" w:type="dxa"/>
            </w:tcMar>
            <w:vAlign w:val="center"/>
          </w:tcPr>
          <w:p>
            <w:pPr>
              <w:jc w:val="center"/>
              <w:rPr>
                <w:color w:val="auto"/>
                <w:sz w:val="22"/>
                <w:szCs w:val="22"/>
              </w:rPr>
            </w:pPr>
            <w:r>
              <w:rPr>
                <w:rFonts w:hint="eastAsia"/>
                <w:color w:val="auto"/>
                <w:sz w:val="24"/>
              </w:rPr>
              <w:t>2</w:t>
            </w:r>
          </w:p>
        </w:tc>
        <w:tc>
          <w:tcPr>
            <w:tcW w:w="1122" w:type="dxa"/>
            <w:shd w:val="clear" w:color="auto" w:fill="auto"/>
            <w:tcMar>
              <w:top w:w="85" w:type="dxa"/>
              <w:left w:w="57" w:type="dxa"/>
              <w:bottom w:w="85" w:type="dxa"/>
              <w:right w:w="57" w:type="dxa"/>
            </w:tcMar>
            <w:vAlign w:val="center"/>
          </w:tcPr>
          <w:p>
            <w:pPr>
              <w:jc w:val="center"/>
              <w:rPr>
                <w:color w:val="auto"/>
                <w:sz w:val="22"/>
                <w:szCs w:val="22"/>
              </w:rPr>
            </w:pPr>
            <w:r>
              <w:rPr>
                <w:color w:val="auto"/>
                <w:sz w:val="24"/>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27" w:hRule="atLeast"/>
          <w:jc w:val="center"/>
        </w:trPr>
        <w:tc>
          <w:tcPr>
            <w:tcW w:w="1843" w:type="dxa"/>
            <w:gridSpan w:val="2"/>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选修课</w:t>
            </w:r>
          </w:p>
          <w:p>
            <w:pPr>
              <w:autoSpaceDE w:val="0"/>
              <w:autoSpaceDN w:val="0"/>
              <w:adjustRightInd w:val="0"/>
              <w:snapToGrid w:val="0"/>
              <w:jc w:val="center"/>
              <w:rPr>
                <w:sz w:val="22"/>
                <w:szCs w:val="22"/>
              </w:rPr>
            </w:pPr>
            <w:r>
              <w:rPr>
                <w:sz w:val="22"/>
                <w:szCs w:val="22"/>
              </w:rPr>
              <w:t>（10学分）</w:t>
            </w:r>
          </w:p>
        </w:tc>
        <w:tc>
          <w:tcPr>
            <w:tcW w:w="1134" w:type="dxa"/>
            <w:tcMar>
              <w:top w:w="85" w:type="dxa"/>
              <w:left w:w="57" w:type="dxa"/>
              <w:bottom w:w="85" w:type="dxa"/>
              <w:right w:w="57" w:type="dxa"/>
            </w:tcMar>
            <w:vAlign w:val="center"/>
          </w:tcPr>
          <w:p>
            <w:pPr>
              <w:widowControl/>
              <w:jc w:val="center"/>
              <w:rPr>
                <w:rFonts w:eastAsia="等线"/>
                <w:color w:val="auto"/>
                <w:sz w:val="22"/>
                <w:szCs w:val="22"/>
              </w:rPr>
            </w:pPr>
            <w:r>
              <w:rPr>
                <w:rFonts w:hint="eastAsia"/>
                <w:color w:val="auto"/>
                <w:sz w:val="22"/>
                <w:szCs w:val="22"/>
                <w:lang w:val="en-US" w:eastAsia="zh-CN"/>
              </w:rPr>
              <w:t>60200523001-004</w:t>
            </w:r>
          </w:p>
        </w:tc>
        <w:tc>
          <w:tcPr>
            <w:tcW w:w="1701" w:type="dxa"/>
            <w:tcMar>
              <w:top w:w="85" w:type="dxa"/>
              <w:left w:w="57" w:type="dxa"/>
              <w:bottom w:w="85" w:type="dxa"/>
              <w:right w:w="57" w:type="dxa"/>
            </w:tcMar>
            <w:vAlign w:val="center"/>
          </w:tcPr>
          <w:p>
            <w:pPr>
              <w:jc w:val="center"/>
              <w:rPr>
                <w:color w:val="auto"/>
                <w:sz w:val="22"/>
              </w:rPr>
            </w:pPr>
            <w:r>
              <w:rPr>
                <w:rFonts w:hAnsi="宋体"/>
                <w:color w:val="auto"/>
                <w:sz w:val="22"/>
                <w:szCs w:val="22"/>
              </w:rPr>
              <w:t>第二外国语（法、日、德</w:t>
            </w:r>
            <w:r>
              <w:rPr>
                <w:rFonts w:hint="eastAsia" w:hAnsi="宋体"/>
                <w:color w:val="auto"/>
                <w:sz w:val="22"/>
                <w:szCs w:val="22"/>
              </w:rPr>
              <w:t>、俄</w:t>
            </w:r>
            <w:r>
              <w:rPr>
                <w:rFonts w:hAnsi="宋体"/>
                <w:color w:val="auto"/>
                <w:sz w:val="22"/>
                <w:szCs w:val="22"/>
              </w:rPr>
              <w:t>）</w:t>
            </w:r>
          </w:p>
        </w:tc>
        <w:tc>
          <w:tcPr>
            <w:tcW w:w="567" w:type="dxa"/>
            <w:tcMar>
              <w:top w:w="85" w:type="dxa"/>
              <w:left w:w="57" w:type="dxa"/>
              <w:bottom w:w="85" w:type="dxa"/>
              <w:right w:w="57" w:type="dxa"/>
            </w:tcMar>
            <w:vAlign w:val="center"/>
          </w:tcPr>
          <w:p>
            <w:pPr>
              <w:jc w:val="center"/>
              <w:rPr>
                <w:color w:val="auto"/>
                <w:sz w:val="22"/>
              </w:rPr>
            </w:pPr>
            <w:r>
              <w:rPr>
                <w:rFonts w:hint="eastAsia" w:hAnsi="宋体"/>
                <w:color w:val="auto"/>
                <w:sz w:val="22"/>
                <w:szCs w:val="22"/>
              </w:rPr>
              <w:t>72</w:t>
            </w:r>
          </w:p>
        </w:tc>
        <w:tc>
          <w:tcPr>
            <w:tcW w:w="567" w:type="dxa"/>
            <w:tcMar>
              <w:top w:w="85" w:type="dxa"/>
              <w:left w:w="57" w:type="dxa"/>
              <w:bottom w:w="85" w:type="dxa"/>
              <w:right w:w="57" w:type="dxa"/>
            </w:tcMar>
            <w:vAlign w:val="center"/>
          </w:tcPr>
          <w:p>
            <w:pPr>
              <w:jc w:val="center"/>
              <w:rPr>
                <w:color w:val="auto"/>
                <w:sz w:val="22"/>
                <w:szCs w:val="22"/>
              </w:rPr>
            </w:pPr>
          </w:p>
        </w:tc>
        <w:tc>
          <w:tcPr>
            <w:tcW w:w="567" w:type="dxa"/>
            <w:tcMar>
              <w:top w:w="85" w:type="dxa"/>
              <w:left w:w="57" w:type="dxa"/>
              <w:bottom w:w="85" w:type="dxa"/>
              <w:right w:w="57" w:type="dxa"/>
            </w:tcMar>
            <w:vAlign w:val="center"/>
          </w:tcPr>
          <w:p>
            <w:pPr>
              <w:jc w:val="center"/>
              <w:rPr>
                <w:color w:val="auto"/>
                <w:sz w:val="22"/>
                <w:szCs w:val="21"/>
              </w:rPr>
            </w:pPr>
            <w:r>
              <w:rPr>
                <w:rFonts w:hint="eastAsia" w:hAnsi="宋体"/>
                <w:color w:val="auto"/>
                <w:sz w:val="22"/>
                <w:szCs w:val="22"/>
              </w:rPr>
              <w:t>4</w:t>
            </w:r>
          </w:p>
        </w:tc>
        <w:tc>
          <w:tcPr>
            <w:tcW w:w="574" w:type="dxa"/>
            <w:tcMar>
              <w:top w:w="85" w:type="dxa"/>
              <w:left w:w="57" w:type="dxa"/>
              <w:bottom w:w="85" w:type="dxa"/>
              <w:right w:w="57" w:type="dxa"/>
            </w:tcMar>
            <w:vAlign w:val="center"/>
          </w:tcPr>
          <w:p>
            <w:pPr>
              <w:jc w:val="center"/>
              <w:rPr>
                <w:color w:val="auto"/>
                <w:sz w:val="22"/>
              </w:rPr>
            </w:pPr>
            <w:r>
              <w:rPr>
                <w:rFonts w:hAnsi="宋体"/>
                <w:color w:val="auto"/>
                <w:sz w:val="22"/>
                <w:szCs w:val="22"/>
              </w:rPr>
              <w:t>4</w:t>
            </w:r>
          </w:p>
        </w:tc>
        <w:tc>
          <w:tcPr>
            <w:tcW w:w="1122" w:type="dxa"/>
            <w:tcMar>
              <w:top w:w="85" w:type="dxa"/>
              <w:left w:w="57" w:type="dxa"/>
              <w:bottom w:w="85" w:type="dxa"/>
              <w:right w:w="57" w:type="dxa"/>
            </w:tcMar>
            <w:vAlign w:val="center"/>
          </w:tcPr>
          <w:p>
            <w:pPr>
              <w:ind w:left="-63" w:leftChars="-30" w:right="-63" w:rightChars="-30"/>
              <w:jc w:val="center"/>
              <w:rPr>
                <w:rFonts w:hAnsi="宋体"/>
                <w:color w:val="auto"/>
                <w:sz w:val="22"/>
                <w:szCs w:val="22"/>
              </w:rPr>
            </w:pPr>
            <w:r>
              <w:rPr>
                <w:rFonts w:hAnsi="宋体"/>
                <w:color w:val="auto"/>
                <w:sz w:val="22"/>
                <w:szCs w:val="22"/>
              </w:rPr>
              <w:t>外国语</w:t>
            </w:r>
          </w:p>
          <w:p>
            <w:pPr>
              <w:jc w:val="center"/>
              <w:rPr>
                <w:color w:val="auto"/>
                <w:sz w:val="22"/>
                <w:szCs w:val="21"/>
              </w:rPr>
            </w:pPr>
            <w:r>
              <w:rPr>
                <w:rFonts w:hAnsi="宋体"/>
                <w:color w:val="auto"/>
                <w:sz w:val="22"/>
                <w:szCs w:val="22"/>
              </w:rPr>
              <w:t>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hAnsi="宋体"/>
                <w:color w:val="auto"/>
                <w:sz w:val="22"/>
                <w:szCs w:val="22"/>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81"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6941" w:type="dxa"/>
            <w:gridSpan w:val="8"/>
            <w:tcMar>
              <w:top w:w="85" w:type="dxa"/>
              <w:left w:w="57" w:type="dxa"/>
              <w:bottom w:w="85" w:type="dxa"/>
              <w:right w:w="57" w:type="dxa"/>
            </w:tcMar>
            <w:vAlign w:val="center"/>
          </w:tcPr>
          <w:p>
            <w:pPr>
              <w:widowControl/>
              <w:autoSpaceDE w:val="0"/>
              <w:autoSpaceDN w:val="0"/>
              <w:adjustRightInd w:val="0"/>
              <w:snapToGrid w:val="0"/>
              <w:jc w:val="left"/>
              <w:rPr>
                <w:color w:val="auto"/>
                <w:sz w:val="22"/>
                <w:szCs w:val="22"/>
              </w:rPr>
            </w:pPr>
            <w:r>
              <w:rPr>
                <w:rFonts w:hint="eastAsia" w:ascii="宋体" w:hAnsi="宋体" w:cs="宋体"/>
                <w:color w:val="auto"/>
                <w:kern w:val="0"/>
                <w:sz w:val="22"/>
                <w:szCs w:val="22"/>
              </w:rPr>
              <w:t>可任意选修各学院开设的研究生课程、本科生课程（</w:t>
            </w:r>
            <w:r>
              <w:rPr>
                <w:bCs/>
                <w:color w:val="auto"/>
                <w:sz w:val="22"/>
                <w:szCs w:val="22"/>
              </w:rPr>
              <w:t>具体课程</w:t>
            </w:r>
            <w:r>
              <w:rPr>
                <w:rFonts w:hint="eastAsia"/>
                <w:bCs/>
                <w:color w:val="auto"/>
                <w:sz w:val="22"/>
                <w:szCs w:val="22"/>
              </w:rPr>
              <w:t>清单</w:t>
            </w:r>
            <w:r>
              <w:rPr>
                <w:bCs/>
                <w:color w:val="auto"/>
                <w:sz w:val="22"/>
                <w:szCs w:val="22"/>
              </w:rPr>
              <w:t>见</w:t>
            </w:r>
            <w:r>
              <w:rPr>
                <w:rFonts w:hint="eastAsia"/>
                <w:bCs/>
                <w:color w:val="auto"/>
                <w:sz w:val="22"/>
                <w:szCs w:val="22"/>
              </w:rPr>
              <w:t>附件，</w:t>
            </w:r>
            <w:r>
              <w:rPr>
                <w:rFonts w:hint="eastAsia" w:ascii="宋体" w:hAnsi="宋体" w:cs="宋体"/>
                <w:color w:val="auto"/>
                <w:kern w:val="0"/>
                <w:sz w:val="22"/>
                <w:szCs w:val="22"/>
              </w:rPr>
              <w:t>选修本科生课程不计入总学分），</w:t>
            </w:r>
            <w:r>
              <w:rPr>
                <w:rFonts w:hint="eastAsia" w:ascii="宋体" w:hAnsi="宋体" w:cs="宋体"/>
                <w:color w:val="auto"/>
                <w:sz w:val="22"/>
                <w:szCs w:val="22"/>
              </w:rPr>
              <w:t>至少含1门文史哲艺美类课程</w:t>
            </w:r>
            <w:r>
              <w:rPr>
                <w:rFonts w:ascii="宋体" w:hAnsi="宋体" w:cs="宋体"/>
                <w:color w:val="auto"/>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843" w:type="dxa"/>
            <w:gridSpan w:val="2"/>
            <w:vMerge w:val="restart"/>
            <w:tcMar>
              <w:top w:w="85" w:type="dxa"/>
              <w:left w:w="57" w:type="dxa"/>
              <w:bottom w:w="85" w:type="dxa"/>
              <w:right w:w="57" w:type="dxa"/>
            </w:tcMar>
            <w:vAlign w:val="center"/>
          </w:tcPr>
          <w:p>
            <w:pPr>
              <w:widowControl/>
              <w:autoSpaceDE w:val="0"/>
              <w:autoSpaceDN w:val="0"/>
              <w:adjustRightInd w:val="0"/>
              <w:snapToGrid w:val="0"/>
              <w:jc w:val="center"/>
              <w:rPr>
                <w:sz w:val="22"/>
                <w:szCs w:val="22"/>
              </w:rPr>
            </w:pPr>
            <w:r>
              <w:rPr>
                <w:sz w:val="22"/>
                <w:szCs w:val="22"/>
              </w:rPr>
              <w:t>必修</w:t>
            </w:r>
          </w:p>
          <w:p>
            <w:pPr>
              <w:widowControl/>
              <w:autoSpaceDE w:val="0"/>
              <w:autoSpaceDN w:val="0"/>
              <w:adjustRightInd w:val="0"/>
              <w:snapToGrid w:val="0"/>
              <w:jc w:val="center"/>
              <w:rPr>
                <w:sz w:val="22"/>
                <w:szCs w:val="22"/>
              </w:rPr>
            </w:pPr>
            <w:r>
              <w:rPr>
                <w:sz w:val="22"/>
                <w:szCs w:val="22"/>
              </w:rPr>
              <w:t>环节</w:t>
            </w:r>
          </w:p>
          <w:p>
            <w:pPr>
              <w:widowControl/>
              <w:autoSpaceDE w:val="0"/>
              <w:autoSpaceDN w:val="0"/>
              <w:adjustRightInd w:val="0"/>
              <w:snapToGrid w:val="0"/>
              <w:jc w:val="center"/>
              <w:rPr>
                <w:sz w:val="22"/>
                <w:szCs w:val="22"/>
              </w:rPr>
            </w:pPr>
            <w:r>
              <w:rPr>
                <w:sz w:val="22"/>
                <w:szCs w:val="22"/>
              </w:rPr>
              <w:t>（7学分）</w:t>
            </w:r>
          </w:p>
        </w:tc>
        <w:tc>
          <w:tcPr>
            <w:tcW w:w="1134" w:type="dxa"/>
            <w:tcMar>
              <w:top w:w="85" w:type="dxa"/>
              <w:left w:w="57" w:type="dxa"/>
              <w:bottom w:w="85" w:type="dxa"/>
              <w:right w:w="57" w:type="dxa"/>
            </w:tcMar>
            <w:vAlign w:val="center"/>
          </w:tcPr>
          <w:p>
            <w:pPr>
              <w:widowControl/>
              <w:autoSpaceDE w:val="0"/>
              <w:autoSpaceDN w:val="0"/>
              <w:adjustRightInd w:val="0"/>
              <w:snapToGrid w:val="0"/>
              <w:jc w:val="center"/>
              <w:rPr>
                <w:rFonts w:hint="default" w:ascii="Times New Roman" w:hAnsi="Times New Roman" w:eastAsia="宋体" w:cs="Times New Roman"/>
                <w:color w:val="auto"/>
                <w:kern w:val="2"/>
                <w:sz w:val="22"/>
                <w:szCs w:val="22"/>
                <w:lang w:val="en-US" w:eastAsia="zh-CN" w:bidi="ar-SA"/>
              </w:rPr>
            </w:pPr>
            <w:r>
              <w:rPr>
                <w:rFonts w:hint="eastAsia"/>
                <w:color w:val="auto"/>
                <w:sz w:val="22"/>
                <w:szCs w:val="22"/>
                <w:lang w:val="en-US" w:eastAsia="zh-CN"/>
              </w:rPr>
              <w:t>70130624001</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color w:val="auto"/>
                <w:sz w:val="22"/>
                <w:szCs w:val="22"/>
              </w:rPr>
              <w:t>本科起点专博专业实践</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5</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6</w:t>
            </w:r>
          </w:p>
        </w:tc>
        <w:tc>
          <w:tcPr>
            <w:tcW w:w="1122" w:type="dxa"/>
            <w:tcMar>
              <w:top w:w="85" w:type="dxa"/>
              <w:left w:w="57" w:type="dxa"/>
              <w:bottom w:w="85" w:type="dxa"/>
              <w:right w:w="57" w:type="dxa"/>
            </w:tcMar>
            <w:vAlign w:val="center"/>
          </w:tcPr>
          <w:p>
            <w:pPr>
              <w:jc w:val="center"/>
              <w:rPr>
                <w:color w:val="auto"/>
                <w:sz w:val="22"/>
                <w:szCs w:val="22"/>
              </w:rPr>
            </w:pPr>
            <w:r>
              <w:rPr>
                <w:rFonts w:hint="eastAsia"/>
                <w:color w:val="auto"/>
                <w:sz w:val="22"/>
              </w:rPr>
              <w:t>自动化</w:t>
            </w:r>
            <w:r>
              <w:rPr>
                <w:color w:val="auto"/>
                <w:sz w:val="22"/>
              </w:rPr>
              <w:t>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autoSpaceDE w:val="0"/>
              <w:autoSpaceDN w:val="0"/>
              <w:adjustRightInd w:val="0"/>
              <w:snapToGrid w:val="0"/>
              <w:jc w:val="center"/>
              <w:rPr>
                <w:rFonts w:hint="default" w:ascii="Times New Roman" w:hAnsi="Times New Roman" w:eastAsia="宋体" w:cs="Times New Roman"/>
                <w:color w:val="auto"/>
                <w:kern w:val="2"/>
                <w:sz w:val="22"/>
                <w:szCs w:val="22"/>
                <w:lang w:val="en-US" w:eastAsia="zh-CN" w:bidi="ar-SA"/>
              </w:rPr>
            </w:pPr>
            <w:r>
              <w:rPr>
                <w:rFonts w:hint="eastAsia"/>
                <w:color w:val="auto"/>
                <w:sz w:val="22"/>
                <w:szCs w:val="22"/>
                <w:lang w:val="en-US" w:eastAsia="zh-CN"/>
              </w:rPr>
              <w:t>70130624003</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ascii="宋体" w:hAnsi="宋体"/>
                <w:color w:val="auto"/>
                <w:sz w:val="22"/>
              </w:rPr>
              <w:t>专博</w:t>
            </w:r>
            <w:r>
              <w:rPr>
                <w:rFonts w:ascii="宋体" w:hAnsi="宋体"/>
                <w:color w:val="auto"/>
                <w:sz w:val="22"/>
              </w:rPr>
              <w:t>学术活动</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8</w:t>
            </w:r>
          </w:p>
        </w:tc>
        <w:tc>
          <w:tcPr>
            <w:tcW w:w="1122" w:type="dxa"/>
            <w:tcMar>
              <w:top w:w="85" w:type="dxa"/>
              <w:left w:w="57" w:type="dxa"/>
              <w:bottom w:w="85" w:type="dxa"/>
              <w:right w:w="57" w:type="dxa"/>
            </w:tcMar>
            <w:vAlign w:val="center"/>
          </w:tcPr>
          <w:p>
            <w:pPr>
              <w:jc w:val="center"/>
              <w:rPr>
                <w:color w:val="auto"/>
                <w:sz w:val="22"/>
                <w:szCs w:val="22"/>
              </w:rPr>
            </w:pPr>
            <w:r>
              <w:rPr>
                <w:rFonts w:hint="eastAsia"/>
                <w:color w:val="auto"/>
                <w:sz w:val="22"/>
                <w:szCs w:val="21"/>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843" w:type="dxa"/>
            <w:gridSpan w:val="2"/>
            <w:vMerge w:val="continue"/>
            <w:tcMar>
              <w:top w:w="85" w:type="dxa"/>
              <w:left w:w="57" w:type="dxa"/>
              <w:bottom w:w="85" w:type="dxa"/>
              <w:right w:w="57" w:type="dxa"/>
            </w:tcMar>
            <w:vAlign w:val="center"/>
          </w:tcPr>
          <w:p>
            <w:pPr>
              <w:widowControl/>
              <w:autoSpaceDE w:val="0"/>
              <w:autoSpaceDN w:val="0"/>
              <w:adjustRightInd w:val="0"/>
              <w:snapToGrid w:val="0"/>
              <w:jc w:val="center"/>
              <w:rPr>
                <w:sz w:val="22"/>
                <w:szCs w:val="22"/>
              </w:rPr>
            </w:pPr>
          </w:p>
        </w:tc>
        <w:tc>
          <w:tcPr>
            <w:tcW w:w="1134" w:type="dxa"/>
            <w:tcMar>
              <w:top w:w="85" w:type="dxa"/>
              <w:left w:w="57" w:type="dxa"/>
              <w:bottom w:w="85" w:type="dxa"/>
              <w:right w:w="57" w:type="dxa"/>
            </w:tcMar>
            <w:vAlign w:val="center"/>
          </w:tcPr>
          <w:p>
            <w:pPr>
              <w:widowControl/>
              <w:autoSpaceDE w:val="0"/>
              <w:autoSpaceDN w:val="0"/>
              <w:adjustRightInd w:val="0"/>
              <w:snapToGrid w:val="0"/>
              <w:jc w:val="center"/>
              <w:rPr>
                <w:rFonts w:hint="default" w:ascii="Times New Roman" w:hAnsi="Times New Roman" w:eastAsia="宋体" w:cs="Times New Roman"/>
                <w:color w:val="auto"/>
                <w:kern w:val="2"/>
                <w:sz w:val="22"/>
                <w:szCs w:val="22"/>
                <w:lang w:val="en-US" w:eastAsia="zh-CN" w:bidi="ar-SA"/>
              </w:rPr>
            </w:pPr>
            <w:r>
              <w:rPr>
                <w:rFonts w:hint="eastAsia"/>
                <w:color w:val="auto"/>
                <w:sz w:val="22"/>
                <w:szCs w:val="22"/>
                <w:lang w:val="en-US" w:eastAsia="zh-CN"/>
              </w:rPr>
              <w:t>70130624004</w:t>
            </w:r>
          </w:p>
        </w:tc>
        <w:tc>
          <w:tcPr>
            <w:tcW w:w="1701"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rFonts w:hint="eastAsia" w:ascii="宋体" w:hAnsi="宋体"/>
                <w:color w:val="auto"/>
                <w:sz w:val="22"/>
              </w:rPr>
              <w:t>专博</w:t>
            </w:r>
            <w:r>
              <w:rPr>
                <w:rFonts w:ascii="宋体" w:hAnsi="宋体"/>
                <w:color w:val="auto"/>
                <w:sz w:val="22"/>
              </w:rPr>
              <w:t>选题报告</w:t>
            </w: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c>
          <w:tcPr>
            <w:tcW w:w="567"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1</w:t>
            </w:r>
          </w:p>
        </w:tc>
        <w:tc>
          <w:tcPr>
            <w:tcW w:w="574"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r>
              <w:rPr>
                <w:color w:val="auto"/>
                <w:sz w:val="22"/>
                <w:szCs w:val="22"/>
              </w:rPr>
              <w:t>8</w:t>
            </w:r>
          </w:p>
        </w:tc>
        <w:tc>
          <w:tcPr>
            <w:tcW w:w="1122" w:type="dxa"/>
            <w:tcMar>
              <w:top w:w="85" w:type="dxa"/>
              <w:left w:w="57" w:type="dxa"/>
              <w:bottom w:w="85" w:type="dxa"/>
              <w:right w:w="57" w:type="dxa"/>
            </w:tcMar>
            <w:vAlign w:val="center"/>
          </w:tcPr>
          <w:p>
            <w:pPr>
              <w:jc w:val="center"/>
              <w:rPr>
                <w:color w:val="auto"/>
                <w:sz w:val="22"/>
                <w:szCs w:val="22"/>
              </w:rPr>
            </w:pPr>
            <w:r>
              <w:rPr>
                <w:rFonts w:hint="eastAsia"/>
                <w:color w:val="auto"/>
                <w:sz w:val="22"/>
                <w:szCs w:val="21"/>
              </w:rPr>
              <w:t>自动化学院</w:t>
            </w:r>
          </w:p>
        </w:tc>
        <w:tc>
          <w:tcPr>
            <w:tcW w:w="709" w:type="dxa"/>
            <w:tcMar>
              <w:top w:w="85" w:type="dxa"/>
              <w:left w:w="57" w:type="dxa"/>
              <w:bottom w:w="85" w:type="dxa"/>
              <w:right w:w="57" w:type="dxa"/>
            </w:tcMar>
            <w:vAlign w:val="center"/>
          </w:tcPr>
          <w:p>
            <w:pPr>
              <w:widowControl/>
              <w:autoSpaceDE w:val="0"/>
              <w:autoSpaceDN w:val="0"/>
              <w:adjustRightInd w:val="0"/>
              <w:snapToGrid w:val="0"/>
              <w:jc w:val="center"/>
              <w:rPr>
                <w:color w:val="auto"/>
                <w:sz w:val="22"/>
                <w:szCs w:val="22"/>
              </w:rPr>
            </w:pPr>
          </w:p>
        </w:tc>
      </w:tr>
    </w:tbl>
    <w:p>
      <w:pPr>
        <w:pStyle w:val="4"/>
        <w:spacing w:before="156" w:after="156"/>
      </w:pPr>
      <w:bookmarkStart w:id="4" w:name="_Toc10589"/>
      <w:r>
        <w:t>五、必修环节</w:t>
      </w:r>
      <w:bookmarkEnd w:id="4"/>
    </w:p>
    <w:p>
      <w:pPr>
        <w:adjustRightInd w:val="0"/>
        <w:snapToGrid w:val="0"/>
        <w:spacing w:line="400" w:lineRule="exact"/>
        <w:ind w:firstLine="480" w:firstLineChars="200"/>
        <w:rPr>
          <w:sz w:val="24"/>
        </w:rPr>
      </w:pPr>
      <w:bookmarkStart w:id="5" w:name="_Toc26532"/>
      <w:r>
        <w:rPr>
          <w:sz w:val="24"/>
        </w:rPr>
        <w:t>（一）专业实践</w:t>
      </w:r>
    </w:p>
    <w:p>
      <w:pPr>
        <w:spacing w:line="400" w:lineRule="exact"/>
        <w:ind w:firstLine="480" w:firstLineChars="200"/>
        <w:rPr>
          <w:sz w:val="24"/>
        </w:rPr>
      </w:pPr>
      <w:r>
        <w:rPr>
          <w:sz w:val="24"/>
        </w:rPr>
        <w:t>专业学位博士研究生在学期间，必须保证不少于半年的专业实践，可采用集中实践与分段实践相结合的方式。</w:t>
      </w:r>
    </w:p>
    <w:p>
      <w:pPr>
        <w:spacing w:line="400" w:lineRule="exact"/>
        <w:ind w:firstLine="480" w:firstLineChars="200"/>
        <w:rPr>
          <w:sz w:val="24"/>
        </w:rPr>
      </w:pPr>
      <w:r>
        <w:rPr>
          <w:sz w:val="24"/>
        </w:rPr>
        <w:t>专业学位博士研究生的专业实践一般依托本专业领域的国家级研究生联合培养示范基地，省级、校级、院级、培育级研究生工作站，海南研究院、仙湖实验室、襄阳示范区等完成。</w:t>
      </w:r>
    </w:p>
    <w:p>
      <w:pPr>
        <w:spacing w:line="400" w:lineRule="exact"/>
        <w:ind w:firstLine="480" w:firstLineChars="200"/>
        <w:rPr>
          <w:sz w:val="24"/>
        </w:rPr>
      </w:pPr>
      <w:r>
        <w:rPr>
          <w:sz w:val="24"/>
        </w:rPr>
        <w:t>在校内外导师的共同指导下，结合工程实际岗位，主要进行专业综合实践和应用能力训练，专业实践是专业学位博士研究生培养过程的必备过程，研究生要提交实践计划，撰写不少于3000字的实践总结报告。研究生提交由实践单位和指导教师签署意见的书面实践报告，学院审核通过后，考核通过合格者记2学分。此外，研究生进入课题之前必须完成实验室安全培训，考核通过后记1学分。</w:t>
      </w:r>
    </w:p>
    <w:p>
      <w:pPr>
        <w:adjustRightInd w:val="0"/>
        <w:snapToGrid w:val="0"/>
        <w:spacing w:line="400" w:lineRule="exact"/>
        <w:ind w:firstLine="480" w:firstLineChars="200"/>
        <w:rPr>
          <w:kern w:val="0"/>
          <w:sz w:val="24"/>
        </w:rPr>
      </w:pPr>
      <w:r>
        <w:rPr>
          <w:sz w:val="24"/>
        </w:rPr>
        <w:t>※ 定向培养研究生、来华留学生可免修实践环节，但不记学分，所缺学分必须通过选修课程补齐。</w:t>
      </w:r>
    </w:p>
    <w:p>
      <w:pPr>
        <w:adjustRightInd w:val="0"/>
        <w:snapToGrid w:val="0"/>
        <w:spacing w:line="400" w:lineRule="exact"/>
        <w:ind w:firstLine="480" w:firstLineChars="200"/>
        <w:rPr>
          <w:sz w:val="24"/>
        </w:rPr>
      </w:pPr>
      <w:r>
        <w:rPr>
          <w:sz w:val="24"/>
        </w:rPr>
        <w:t>（二）学术活动</w:t>
      </w:r>
    </w:p>
    <w:p>
      <w:pPr>
        <w:adjustRightInd w:val="0"/>
        <w:snapToGrid w:val="0"/>
        <w:spacing w:line="400" w:lineRule="exact"/>
        <w:ind w:firstLine="480" w:firstLineChars="200"/>
        <w:rPr>
          <w:sz w:val="24"/>
        </w:rPr>
      </w:pPr>
      <w:r>
        <w:rPr>
          <w:sz w:val="24"/>
        </w:rPr>
        <w:t>为了促使研究生能主动关心和了解国内外本学科前沿的发展动态，开阔视野，启发创造力，要求每个专业学位博士研究生应公开做学术报告至少2次，参加学术报告至少10次，且每次参加学术活动必须写出500字以上的心得。经指导教师（小组）检查、审核，完成者在必修环节记1个学分。</w:t>
      </w:r>
    </w:p>
    <w:p>
      <w:pPr>
        <w:spacing w:line="400" w:lineRule="exact"/>
        <w:ind w:firstLine="480" w:firstLineChars="200"/>
        <w:rPr>
          <w:bCs/>
          <w:sz w:val="24"/>
        </w:rPr>
      </w:pPr>
      <w:r>
        <w:rPr>
          <w:rFonts w:hint="eastAsia"/>
          <w:bCs/>
          <w:sz w:val="24"/>
        </w:rPr>
        <w:t>（三）选题报告</w:t>
      </w:r>
    </w:p>
    <w:p>
      <w:pPr>
        <w:adjustRightInd w:val="0"/>
        <w:snapToGrid w:val="0"/>
        <w:spacing w:line="400" w:lineRule="exact"/>
        <w:ind w:firstLine="480" w:firstLineChars="200"/>
        <w:rPr>
          <w:sz w:val="24"/>
        </w:rPr>
      </w:pPr>
      <w:r>
        <w:rPr>
          <w:rFonts w:hint="eastAsia"/>
          <w:sz w:val="24"/>
        </w:rPr>
        <w:t>学位论文选题报告不仅要提出研究的问题，还要提出问题的依据以及解决这些问题的思路与实施途径，博士生入学后，应在导师指导下明确科学研究方向，查阅国内外相关文献，经过广泛的调查研究后，提出学位论文选题报告，经审核后确定研究课题。</w:t>
      </w:r>
    </w:p>
    <w:p>
      <w:pPr>
        <w:adjustRightInd w:val="0"/>
        <w:snapToGrid w:val="0"/>
        <w:spacing w:line="400" w:lineRule="exact"/>
        <w:ind w:firstLine="480" w:firstLineChars="200"/>
        <w:rPr>
          <w:sz w:val="24"/>
        </w:rPr>
      </w:pPr>
      <w:r>
        <w:rPr>
          <w:rFonts w:hint="eastAsia"/>
          <w:sz w:val="24"/>
        </w:rPr>
        <w:t>专业学位博士研究生选题报告的具体要求，按照学校研究生开题管理有关规定要求执行。选题报告通过后记1个必修环节学分。</w:t>
      </w:r>
    </w:p>
    <w:p>
      <w:pPr>
        <w:spacing w:line="400" w:lineRule="exact"/>
        <w:ind w:firstLine="480" w:firstLineChars="200"/>
        <w:rPr>
          <w:sz w:val="24"/>
        </w:rPr>
      </w:pPr>
      <w:r>
        <w:rPr>
          <w:sz w:val="24"/>
        </w:rPr>
        <w:t>※定向培养研究生、来华留学生可免修实践环节，但不记学分，所缺学分必须通过选修课程补齐。</w:t>
      </w:r>
    </w:p>
    <w:p>
      <w:pPr>
        <w:pStyle w:val="4"/>
        <w:spacing w:before="156" w:after="156"/>
      </w:pPr>
      <w:r>
        <w:t>六、科学研究与学位论文</w:t>
      </w:r>
      <w:bookmarkEnd w:id="5"/>
    </w:p>
    <w:p>
      <w:pPr>
        <w:adjustRightInd w:val="0"/>
        <w:snapToGrid w:val="0"/>
        <w:spacing w:line="400" w:lineRule="exact"/>
        <w:ind w:firstLine="480" w:firstLineChars="200"/>
        <w:rPr>
          <w:color w:val="auto"/>
          <w:sz w:val="24"/>
        </w:rPr>
      </w:pPr>
      <w:bookmarkStart w:id="6" w:name="_Toc12741"/>
      <w:r>
        <w:rPr>
          <w:color w:val="auto"/>
          <w:sz w:val="24"/>
        </w:rPr>
        <w:t>（一）科学研究</w:t>
      </w:r>
    </w:p>
    <w:p>
      <w:pPr>
        <w:autoSpaceDE w:val="0"/>
        <w:autoSpaceDN w:val="0"/>
        <w:adjustRightInd w:val="0"/>
        <w:spacing w:line="400" w:lineRule="exact"/>
        <w:ind w:firstLine="480" w:firstLineChars="200"/>
        <w:rPr>
          <w:rFonts w:hAnsi="宋体"/>
          <w:color w:val="auto"/>
          <w:kern w:val="0"/>
          <w:sz w:val="24"/>
        </w:rPr>
      </w:pPr>
      <w:r>
        <w:rPr>
          <w:rFonts w:hint="eastAsia"/>
          <w:color w:val="auto"/>
          <w:sz w:val="24"/>
        </w:rPr>
        <w:t>能源动力（电气工程）（本科起点）</w:t>
      </w:r>
      <w:r>
        <w:rPr>
          <w:rFonts w:hint="eastAsia"/>
          <w:bCs/>
          <w:color w:val="auto"/>
          <w:sz w:val="24"/>
        </w:rPr>
        <w:t>博士专业学位研究生</w:t>
      </w:r>
      <w:r>
        <w:rPr>
          <w:rFonts w:hint="eastAsia" w:hAnsi="宋体"/>
          <w:color w:val="auto"/>
          <w:kern w:val="0"/>
          <w:sz w:val="24"/>
        </w:rPr>
        <w:t>须在导师的指导下，依托相应的科研项目、科研条件和科研设施，开展科研工作，进行科研实践，培养独立进行科学研究的能力或独立承担专门技术工作的能力。</w:t>
      </w:r>
    </w:p>
    <w:p>
      <w:pPr>
        <w:adjustRightInd w:val="0"/>
        <w:snapToGrid w:val="0"/>
        <w:spacing w:line="400" w:lineRule="exact"/>
        <w:ind w:firstLine="480" w:firstLineChars="200"/>
        <w:rPr>
          <w:color w:val="auto"/>
          <w:sz w:val="24"/>
        </w:rPr>
      </w:pPr>
      <w:r>
        <w:rPr>
          <w:color w:val="auto"/>
          <w:sz w:val="24"/>
        </w:rPr>
        <w:t>（二）学位论文</w:t>
      </w:r>
    </w:p>
    <w:p>
      <w:pPr>
        <w:adjustRightInd w:val="0"/>
        <w:snapToGrid w:val="0"/>
        <w:spacing w:line="400" w:lineRule="exact"/>
        <w:ind w:firstLine="480" w:firstLineChars="200"/>
        <w:rPr>
          <w:color w:val="auto"/>
          <w:sz w:val="24"/>
        </w:rPr>
      </w:pPr>
      <w:r>
        <w:rPr>
          <w:color w:val="auto"/>
          <w:sz w:val="24"/>
        </w:rPr>
        <w:t>博士学位论文的撰写是</w:t>
      </w:r>
      <w:r>
        <w:rPr>
          <w:rFonts w:hint="eastAsia"/>
          <w:bCs/>
          <w:color w:val="auto"/>
          <w:sz w:val="24"/>
        </w:rPr>
        <w:t>能源动力（电气工程）</w:t>
      </w:r>
      <w:r>
        <w:rPr>
          <w:rFonts w:hint="eastAsia"/>
          <w:color w:val="auto"/>
          <w:kern w:val="0"/>
          <w:sz w:val="24"/>
        </w:rPr>
        <w:t>（本科起点）</w:t>
      </w:r>
      <w:r>
        <w:rPr>
          <w:bCs/>
          <w:color w:val="auto"/>
          <w:sz w:val="24"/>
        </w:rPr>
        <w:t>专业学位博士研究生</w:t>
      </w:r>
      <w:r>
        <w:rPr>
          <w:color w:val="auto"/>
          <w:sz w:val="24"/>
        </w:rPr>
        <w:t>在校期间的主要工作。博士学位论文反映了</w:t>
      </w:r>
      <w:r>
        <w:rPr>
          <w:color w:val="auto"/>
          <w:kern w:val="0"/>
          <w:sz w:val="24"/>
        </w:rPr>
        <w:t>专业学位博士研究生</w:t>
      </w:r>
      <w:r>
        <w:rPr>
          <w:color w:val="auto"/>
          <w:sz w:val="24"/>
        </w:rPr>
        <w:t>是否掌握坚实而宽广的理论基础和系统深入的专门知识，是否具有独立从事科学研究工作的能力，是否具有创造性，是能否被授予博士学位的关键。</w:t>
      </w:r>
      <w:r>
        <w:rPr>
          <w:bCs/>
          <w:color w:val="auto"/>
          <w:sz w:val="24"/>
        </w:rPr>
        <w:t>专业学位博士研究生</w:t>
      </w:r>
      <w:r>
        <w:rPr>
          <w:color w:val="auto"/>
          <w:sz w:val="24"/>
        </w:rPr>
        <w:t>在校期间应把主要精力投入到与博士论文有关的科学研究和学术论文撰写上。博士学位论文应在导师的指导下，由</w:t>
      </w:r>
      <w:r>
        <w:rPr>
          <w:color w:val="auto"/>
          <w:kern w:val="0"/>
          <w:sz w:val="24"/>
        </w:rPr>
        <w:t>专业学位博士研究生</w:t>
      </w:r>
      <w:r>
        <w:rPr>
          <w:color w:val="auto"/>
          <w:sz w:val="24"/>
        </w:rPr>
        <w:t>本人独立完成。论文应有较强的系统性和创造性。</w:t>
      </w:r>
    </w:p>
    <w:p>
      <w:pPr>
        <w:adjustRightInd w:val="0"/>
        <w:snapToGrid w:val="0"/>
        <w:spacing w:line="400" w:lineRule="exact"/>
        <w:ind w:firstLine="480" w:firstLineChars="200"/>
        <w:rPr>
          <w:color w:val="auto"/>
          <w:sz w:val="24"/>
        </w:rPr>
      </w:pPr>
      <w:r>
        <w:rPr>
          <w:rFonts w:hint="eastAsia"/>
          <w:bCs/>
          <w:color w:val="auto"/>
          <w:sz w:val="24"/>
        </w:rPr>
        <w:t>能源动力（电气工程）</w:t>
      </w:r>
      <w:r>
        <w:rPr>
          <w:rFonts w:hint="eastAsia"/>
          <w:color w:val="auto"/>
          <w:kern w:val="0"/>
          <w:sz w:val="24"/>
        </w:rPr>
        <w:t>（本科起点）</w:t>
      </w:r>
      <w:r>
        <w:rPr>
          <w:bCs/>
          <w:color w:val="auto"/>
          <w:sz w:val="24"/>
        </w:rPr>
        <w:t>专业学位博士研究生</w:t>
      </w:r>
      <w:r>
        <w:rPr>
          <w:color w:val="auto"/>
          <w:sz w:val="24"/>
        </w:rPr>
        <w:t>在博士学位论文送审前，须满足取得学籍当年学校申请博士学位学术成果有关规定和</w:t>
      </w:r>
      <w:r>
        <w:rPr>
          <w:rFonts w:hint="eastAsia"/>
          <w:color w:val="auto"/>
          <w:sz w:val="24"/>
        </w:rPr>
        <w:t>信息工程</w:t>
      </w:r>
      <w:r>
        <w:rPr>
          <w:bCs/>
          <w:color w:val="auto"/>
          <w:sz w:val="24"/>
        </w:rPr>
        <w:t>学院研究生教育与管理</w:t>
      </w:r>
      <w:r>
        <w:rPr>
          <w:color w:val="auto"/>
          <w:sz w:val="24"/>
        </w:rPr>
        <w:t>有关规定，方可送审。</w:t>
      </w:r>
    </w:p>
    <w:p>
      <w:pPr>
        <w:adjustRightInd w:val="0"/>
        <w:snapToGrid w:val="0"/>
        <w:spacing w:line="400" w:lineRule="exact"/>
        <w:ind w:firstLine="480" w:firstLineChars="200"/>
        <w:rPr>
          <w:color w:val="auto"/>
          <w:sz w:val="24"/>
        </w:rPr>
      </w:pPr>
      <w:r>
        <w:rPr>
          <w:rFonts w:hint="eastAsia"/>
          <w:bCs/>
          <w:color w:val="auto"/>
          <w:sz w:val="24"/>
        </w:rPr>
        <w:t>能源动力（电气工程）</w:t>
      </w:r>
      <w:r>
        <w:rPr>
          <w:rFonts w:hint="eastAsia"/>
          <w:color w:val="auto"/>
          <w:kern w:val="0"/>
          <w:sz w:val="24"/>
        </w:rPr>
        <w:t>（本科起点）</w:t>
      </w:r>
      <w:r>
        <w:rPr>
          <w:bCs/>
          <w:color w:val="auto"/>
          <w:sz w:val="24"/>
        </w:rPr>
        <w:t>专业学位博士研究生</w:t>
      </w:r>
      <w:r>
        <w:rPr>
          <w:color w:val="auto"/>
          <w:sz w:val="24"/>
        </w:rPr>
        <w:t>在博士学位论文答辩前，须达到学校研究生学位论文答辩管理办法有关要求，方可答辩。</w:t>
      </w:r>
    </w:p>
    <w:p>
      <w:pPr>
        <w:adjustRightInd w:val="0"/>
        <w:snapToGrid w:val="0"/>
        <w:spacing w:line="400" w:lineRule="exact"/>
        <w:ind w:firstLine="480" w:firstLineChars="200"/>
        <w:rPr>
          <w:color w:val="auto"/>
          <w:sz w:val="24"/>
        </w:rPr>
      </w:pPr>
      <w:r>
        <w:rPr>
          <w:color w:val="auto"/>
          <w:sz w:val="24"/>
        </w:rPr>
        <w:t>※未尽事宜以研究生取得学籍当年武汉理工大学《研究生手册》和</w:t>
      </w:r>
      <w:r>
        <w:rPr>
          <w:rFonts w:hint="eastAsia"/>
          <w:color w:val="auto"/>
          <w:sz w:val="24"/>
        </w:rPr>
        <w:t>自动化</w:t>
      </w:r>
      <w:r>
        <w:rPr>
          <w:bCs/>
          <w:color w:val="auto"/>
          <w:sz w:val="24"/>
        </w:rPr>
        <w:t>学院研究生教育与管理</w:t>
      </w:r>
      <w:r>
        <w:rPr>
          <w:color w:val="auto"/>
          <w:sz w:val="24"/>
        </w:rPr>
        <w:t>有关规定为准。</w:t>
      </w:r>
    </w:p>
    <w:p>
      <w:pPr>
        <w:pStyle w:val="4"/>
        <w:spacing w:before="156" w:after="156"/>
        <w:rPr>
          <w:color w:val="auto"/>
        </w:rPr>
      </w:pPr>
      <w:r>
        <w:rPr>
          <w:color w:val="auto"/>
        </w:rPr>
        <w:t>七、培养方式与方法</w:t>
      </w:r>
      <w:bookmarkEnd w:id="6"/>
    </w:p>
    <w:p>
      <w:pPr>
        <w:spacing w:line="400" w:lineRule="exact"/>
        <w:ind w:firstLine="480" w:firstLineChars="200"/>
        <w:rPr>
          <w:rFonts w:ascii="宋体" w:hAnsi="宋体"/>
          <w:color w:val="auto"/>
          <w:sz w:val="24"/>
        </w:rPr>
      </w:pPr>
      <w:bookmarkStart w:id="7" w:name="_Toc23345"/>
      <w:r>
        <w:rPr>
          <w:rFonts w:hint="eastAsia"/>
          <w:bCs/>
          <w:color w:val="auto"/>
          <w:sz w:val="24"/>
        </w:rPr>
        <w:t>能源动力（电气工程）</w:t>
      </w:r>
      <w:r>
        <w:rPr>
          <w:rFonts w:hint="eastAsia"/>
          <w:color w:val="auto"/>
          <w:kern w:val="0"/>
          <w:sz w:val="24"/>
        </w:rPr>
        <w:t>（本科起点）</w:t>
      </w:r>
      <w:r>
        <w:rPr>
          <w:rFonts w:ascii="宋体" w:hAnsi="宋体"/>
          <w:color w:val="auto"/>
          <w:sz w:val="24"/>
        </w:rPr>
        <w:t>专业学位博士研究生采用校内外双导师制，以校内导师指导为主，校外导师参与实践过程、项目研究、课程与论文等多个环节的指导工作。培养方式应灵活多样，更多地采取启发式、研讨式的教学方式，充分发挥指导教师的主导作用。</w:t>
      </w:r>
    </w:p>
    <w:p>
      <w:pPr>
        <w:pStyle w:val="4"/>
        <w:spacing w:before="156" w:after="156"/>
        <w:rPr>
          <w:color w:val="auto"/>
        </w:rPr>
      </w:pPr>
      <w:r>
        <w:rPr>
          <w:color w:val="auto"/>
        </w:rPr>
        <w:t>八、其它</w:t>
      </w:r>
      <w:bookmarkEnd w:id="7"/>
    </w:p>
    <w:p>
      <w:pPr>
        <w:spacing w:line="400" w:lineRule="exact"/>
        <w:ind w:firstLine="480" w:firstLineChars="200"/>
        <w:rPr>
          <w:rFonts w:ascii="宋体" w:hAnsi="宋体"/>
          <w:color w:val="auto"/>
          <w:sz w:val="24"/>
        </w:rPr>
      </w:pPr>
      <w:r>
        <w:rPr>
          <w:rFonts w:ascii="宋体" w:hAnsi="宋体"/>
          <w:color w:val="auto"/>
          <w:sz w:val="24"/>
        </w:rPr>
        <w:t>（一）</w:t>
      </w:r>
      <w:r>
        <w:rPr>
          <w:rFonts w:hint="eastAsia"/>
          <w:bCs/>
          <w:color w:val="auto"/>
          <w:sz w:val="24"/>
        </w:rPr>
        <w:t>能源动力（电气工程）</w:t>
      </w:r>
      <w:r>
        <w:rPr>
          <w:rFonts w:hint="eastAsia"/>
          <w:color w:val="auto"/>
          <w:kern w:val="0"/>
          <w:sz w:val="24"/>
        </w:rPr>
        <w:t>（本科起点）</w:t>
      </w:r>
      <w:r>
        <w:rPr>
          <w:rFonts w:ascii="宋体" w:hAnsi="宋体"/>
          <w:color w:val="auto"/>
          <w:sz w:val="24"/>
        </w:rPr>
        <w:t>专业学位博士研究生</w:t>
      </w:r>
      <w:r>
        <w:rPr>
          <w:rFonts w:hint="eastAsia" w:ascii="宋体" w:hAnsi="宋体"/>
          <w:color w:val="auto"/>
          <w:sz w:val="24"/>
        </w:rPr>
        <w:t>开题前后均可选修课程，申请学位论文答辩前须修完全部学分要求课程。</w:t>
      </w:r>
    </w:p>
    <w:p>
      <w:pPr>
        <w:spacing w:line="400" w:lineRule="exact"/>
        <w:ind w:firstLine="480" w:firstLineChars="200"/>
        <w:rPr>
          <w:rFonts w:ascii="宋体" w:hAnsi="宋体"/>
          <w:color w:val="auto"/>
          <w:sz w:val="24"/>
        </w:rPr>
      </w:pPr>
      <w:r>
        <w:rPr>
          <w:rFonts w:ascii="宋体" w:hAnsi="宋体"/>
          <w:color w:val="auto"/>
          <w:sz w:val="24"/>
        </w:rPr>
        <w:t>（二）</w:t>
      </w:r>
      <w:r>
        <w:rPr>
          <w:rFonts w:hint="eastAsia"/>
          <w:bCs/>
          <w:color w:val="auto"/>
          <w:sz w:val="24"/>
        </w:rPr>
        <w:t>能源动力（电气工程）</w:t>
      </w:r>
      <w:r>
        <w:rPr>
          <w:rFonts w:hint="eastAsia"/>
          <w:color w:val="auto"/>
          <w:kern w:val="0"/>
          <w:sz w:val="24"/>
        </w:rPr>
        <w:t>（本科起点）</w:t>
      </w:r>
      <w:r>
        <w:rPr>
          <w:rFonts w:ascii="宋体" w:hAnsi="宋体"/>
          <w:color w:val="auto"/>
          <w:sz w:val="24"/>
        </w:rPr>
        <w:t>专业学位博士研究生应查阅本学科国内外文献80篇以上，其中外文文献不少于三分之一。</w:t>
      </w:r>
    </w:p>
    <w:p>
      <w:pPr>
        <w:spacing w:line="400" w:lineRule="exact"/>
        <w:ind w:firstLine="480" w:firstLineChars="200"/>
        <w:rPr>
          <w:rFonts w:ascii="宋体" w:hAnsi="宋体"/>
          <w:color w:val="auto"/>
          <w:sz w:val="24"/>
        </w:rPr>
      </w:pPr>
      <w:r>
        <w:rPr>
          <w:rFonts w:ascii="宋体" w:hAnsi="宋体"/>
          <w:color w:val="auto"/>
          <w:sz w:val="24"/>
        </w:rPr>
        <w:t>（三）</w:t>
      </w:r>
      <w:r>
        <w:rPr>
          <w:rFonts w:hint="eastAsia"/>
          <w:bCs/>
          <w:color w:val="auto"/>
          <w:sz w:val="24"/>
        </w:rPr>
        <w:t>能源动力（电气工程）</w:t>
      </w:r>
      <w:r>
        <w:rPr>
          <w:rFonts w:hint="eastAsia"/>
          <w:color w:val="auto"/>
          <w:kern w:val="0"/>
          <w:sz w:val="24"/>
        </w:rPr>
        <w:t>（本科起点）</w:t>
      </w:r>
      <w:r>
        <w:rPr>
          <w:rFonts w:ascii="宋体" w:hAnsi="宋体"/>
          <w:color w:val="auto"/>
          <w:sz w:val="24"/>
        </w:rPr>
        <w:t>专业学位博士研究生在课程学习阶段每月至少1次、论文工作阶段每月至少2次向指导教师汇报自己的学习和研究工作情况，</w:t>
      </w:r>
      <w:r>
        <w:rPr>
          <w:rFonts w:ascii="宋体" w:hAnsi="宋体"/>
          <w:color w:val="auto"/>
          <w:kern w:val="0"/>
          <w:sz w:val="24"/>
        </w:rPr>
        <w:t>并形成制度。</w:t>
      </w:r>
    </w:p>
    <w:p>
      <w:pPr>
        <w:spacing w:line="400" w:lineRule="exact"/>
        <w:ind w:firstLine="480" w:firstLineChars="200"/>
        <w:rPr>
          <w:rFonts w:ascii="宋体" w:hAnsi="宋体"/>
          <w:color w:val="auto"/>
          <w:sz w:val="24"/>
        </w:rPr>
      </w:pPr>
      <w:r>
        <w:rPr>
          <w:rFonts w:ascii="宋体" w:hAnsi="宋体"/>
          <w:color w:val="auto"/>
          <w:sz w:val="24"/>
        </w:rPr>
        <w:t>（四）全日制、非全日制研究生专业适用同一培养方案。</w:t>
      </w:r>
    </w:p>
    <w:p>
      <w:pPr>
        <w:spacing w:line="400" w:lineRule="exact"/>
        <w:ind w:firstLine="480" w:firstLineChars="200"/>
        <w:rPr>
          <w:rFonts w:ascii="宋体" w:hAnsi="宋体"/>
          <w:color w:val="auto"/>
          <w:sz w:val="24"/>
        </w:rPr>
      </w:pPr>
      <w:r>
        <w:rPr>
          <w:rFonts w:ascii="宋体" w:hAnsi="宋体"/>
          <w:color w:val="auto"/>
          <w:sz w:val="24"/>
        </w:rPr>
        <w:t>（五）本次制订培养方案从202</w:t>
      </w:r>
      <w:r>
        <w:rPr>
          <w:rFonts w:hint="eastAsia" w:ascii="宋体" w:hAnsi="宋体"/>
          <w:color w:val="auto"/>
          <w:sz w:val="24"/>
        </w:rPr>
        <w:t>4</w:t>
      </w:r>
      <w:r>
        <w:rPr>
          <w:rFonts w:ascii="宋体" w:hAnsi="宋体"/>
          <w:color w:val="auto"/>
          <w:sz w:val="24"/>
        </w:rPr>
        <w:t>级</w:t>
      </w:r>
      <w:r>
        <w:rPr>
          <w:rFonts w:hint="eastAsia"/>
          <w:bCs/>
          <w:color w:val="auto"/>
          <w:sz w:val="24"/>
        </w:rPr>
        <w:t>能源动力（电气工程）</w:t>
      </w:r>
      <w:r>
        <w:rPr>
          <w:rFonts w:hint="eastAsia"/>
          <w:color w:val="auto"/>
          <w:kern w:val="0"/>
          <w:sz w:val="24"/>
        </w:rPr>
        <w:t>（本科起点）</w:t>
      </w:r>
      <w:r>
        <w:rPr>
          <w:rFonts w:ascii="宋体" w:hAnsi="宋体"/>
          <w:color w:val="auto"/>
          <w:sz w:val="24"/>
        </w:rPr>
        <w:t>专业学位博士研究生开始执行。</w:t>
      </w:r>
    </w:p>
    <w:p>
      <w:pPr>
        <w:spacing w:line="396" w:lineRule="exact"/>
        <w:ind w:firstLine="480" w:firstLineChars="200"/>
        <w:rPr>
          <w:color w:val="auto"/>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wYjQ2OTM4MjQxMGJmM2MwZDQ1NjgzMjgwM2EzYWIifQ=="/>
  </w:docVars>
  <w:rsids>
    <w:rsidRoot w:val="00FE48AD"/>
    <w:rsid w:val="00177BD4"/>
    <w:rsid w:val="0026584C"/>
    <w:rsid w:val="003B19E3"/>
    <w:rsid w:val="00512343"/>
    <w:rsid w:val="00564F1D"/>
    <w:rsid w:val="00692F2F"/>
    <w:rsid w:val="006F4346"/>
    <w:rsid w:val="006F5D82"/>
    <w:rsid w:val="007B5F9E"/>
    <w:rsid w:val="009B4E79"/>
    <w:rsid w:val="00A91EC1"/>
    <w:rsid w:val="00AB72AE"/>
    <w:rsid w:val="00BA0766"/>
    <w:rsid w:val="00C02487"/>
    <w:rsid w:val="00C11A7B"/>
    <w:rsid w:val="00C3061C"/>
    <w:rsid w:val="00C6304C"/>
    <w:rsid w:val="00D122E0"/>
    <w:rsid w:val="00D43CA5"/>
    <w:rsid w:val="00D46196"/>
    <w:rsid w:val="00E012B6"/>
    <w:rsid w:val="00E26CE4"/>
    <w:rsid w:val="00E40AB7"/>
    <w:rsid w:val="00EB273F"/>
    <w:rsid w:val="00F04A43"/>
    <w:rsid w:val="00FE48AD"/>
    <w:rsid w:val="00FE75BC"/>
    <w:rsid w:val="05391013"/>
    <w:rsid w:val="08277B71"/>
    <w:rsid w:val="309819E9"/>
    <w:rsid w:val="4FE96FCC"/>
    <w:rsid w:val="50D703E2"/>
    <w:rsid w:val="53DA6E1E"/>
    <w:rsid w:val="54463B48"/>
    <w:rsid w:val="58BD4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100" w:beforeLines="100" w:after="100" w:afterLines="100"/>
      <w:jc w:val="center"/>
      <w:outlineLvl w:val="0"/>
    </w:pPr>
    <w:rPr>
      <w:rFonts w:eastAsia="黑体"/>
      <w:b/>
      <w:kern w:val="44"/>
      <w:sz w:val="32"/>
    </w:rPr>
  </w:style>
  <w:style w:type="paragraph" w:styleId="3">
    <w:name w:val="heading 2"/>
    <w:basedOn w:val="1"/>
    <w:next w:val="1"/>
    <w:link w:val="1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5"/>
    <w:link w:val="16"/>
    <w:qFormat/>
    <w:uiPriority w:val="0"/>
    <w:pPr>
      <w:keepLines w:val="0"/>
      <w:spacing w:before="50" w:beforeLines="50" w:after="50" w:afterLines="50" w:line="240" w:lineRule="auto"/>
      <w:outlineLvl w:val="2"/>
    </w:pPr>
    <w:rPr>
      <w:rFonts w:ascii="Times New Roman" w:hAnsi="Times New Roman" w:eastAsia="宋体" w:cs="Times New Roman"/>
      <w:bCs w:val="0"/>
      <w:sz w:val="24"/>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firstLine="420" w:firstLineChars="200"/>
    </w:pPr>
  </w:style>
  <w:style w:type="paragraph" w:styleId="6">
    <w:name w:val="annotation text"/>
    <w:basedOn w:val="1"/>
    <w:link w:val="18"/>
    <w:unhideWhenUsed/>
    <w:qFormat/>
    <w:uiPriority w:val="99"/>
    <w:pPr>
      <w:jc w:val="left"/>
    </w:p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tabs>
        <w:tab w:val="center" w:pos="4153"/>
        <w:tab w:val="right" w:pos="8306"/>
      </w:tabs>
      <w:snapToGrid w:val="0"/>
      <w:jc w:val="center"/>
    </w:pPr>
    <w:rPr>
      <w:sz w:val="18"/>
      <w:szCs w:val="18"/>
    </w:rPr>
  </w:style>
  <w:style w:type="paragraph" w:styleId="9">
    <w:name w:val="annotation subject"/>
    <w:basedOn w:val="6"/>
    <w:next w:val="6"/>
    <w:link w:val="19"/>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标题 1 字符"/>
    <w:basedOn w:val="11"/>
    <w:qFormat/>
    <w:uiPriority w:val="9"/>
    <w:rPr>
      <w:rFonts w:ascii="Times New Roman" w:hAnsi="Times New Roman" w:eastAsia="宋体" w:cs="Times New Roman"/>
      <w:b/>
      <w:bCs/>
      <w:kern w:val="44"/>
      <w:sz w:val="44"/>
      <w:szCs w:val="44"/>
    </w:rPr>
  </w:style>
  <w:style w:type="character" w:customStyle="1" w:styleId="14">
    <w:name w:val="标题 3 字符"/>
    <w:basedOn w:val="11"/>
    <w:semiHidden/>
    <w:qFormat/>
    <w:uiPriority w:val="9"/>
    <w:rPr>
      <w:rFonts w:ascii="Times New Roman" w:hAnsi="Times New Roman" w:eastAsia="宋体" w:cs="Times New Roman"/>
      <w:b/>
      <w:bCs/>
      <w:sz w:val="32"/>
      <w:szCs w:val="32"/>
    </w:rPr>
  </w:style>
  <w:style w:type="character" w:customStyle="1" w:styleId="15">
    <w:name w:val="标题 1 字符1"/>
    <w:basedOn w:val="11"/>
    <w:link w:val="2"/>
    <w:qFormat/>
    <w:uiPriority w:val="0"/>
    <w:rPr>
      <w:rFonts w:ascii="Times New Roman" w:hAnsi="Times New Roman" w:eastAsia="黑体" w:cs="Times New Roman"/>
      <w:b/>
      <w:kern w:val="44"/>
      <w:sz w:val="32"/>
      <w:szCs w:val="24"/>
    </w:rPr>
  </w:style>
  <w:style w:type="character" w:customStyle="1" w:styleId="16">
    <w:name w:val="标题 3 字符1"/>
    <w:basedOn w:val="11"/>
    <w:link w:val="4"/>
    <w:qFormat/>
    <w:uiPriority w:val="0"/>
    <w:rPr>
      <w:rFonts w:ascii="Times New Roman" w:hAnsi="Times New Roman" w:eastAsia="宋体" w:cs="Times New Roman"/>
      <w:b/>
      <w:sz w:val="24"/>
      <w:szCs w:val="24"/>
    </w:rPr>
  </w:style>
  <w:style w:type="character" w:customStyle="1" w:styleId="17">
    <w:name w:val="标题 2 字符"/>
    <w:basedOn w:val="11"/>
    <w:link w:val="3"/>
    <w:semiHidden/>
    <w:qFormat/>
    <w:uiPriority w:val="9"/>
    <w:rPr>
      <w:rFonts w:asciiTheme="majorHAnsi" w:hAnsiTheme="majorHAnsi" w:eastAsiaTheme="majorEastAsia" w:cstheme="majorBidi"/>
      <w:b/>
      <w:bCs/>
      <w:sz w:val="32"/>
      <w:szCs w:val="32"/>
    </w:rPr>
  </w:style>
  <w:style w:type="character" w:customStyle="1" w:styleId="18">
    <w:name w:val="批注文字 字符"/>
    <w:basedOn w:val="11"/>
    <w:link w:val="6"/>
    <w:qFormat/>
    <w:uiPriority w:val="99"/>
    <w:rPr>
      <w:rFonts w:ascii="Times New Roman" w:hAnsi="Times New Roman" w:eastAsia="宋体" w:cs="Times New Roman"/>
      <w:szCs w:val="24"/>
    </w:rPr>
  </w:style>
  <w:style w:type="character" w:customStyle="1" w:styleId="19">
    <w:name w:val="批注主题 字符"/>
    <w:basedOn w:val="18"/>
    <w:link w:val="9"/>
    <w:semiHidden/>
    <w:qFormat/>
    <w:uiPriority w:val="99"/>
    <w:rPr>
      <w:rFonts w:ascii="Times New Roman" w:hAnsi="Times New Roman" w:eastAsia="宋体" w:cs="Times New Roman"/>
      <w:b/>
      <w:bCs/>
      <w:szCs w:val="24"/>
    </w:rPr>
  </w:style>
  <w:style w:type="character" w:customStyle="1" w:styleId="20">
    <w:name w:val="页眉 字符"/>
    <w:basedOn w:val="11"/>
    <w:link w:val="8"/>
    <w:qFormat/>
    <w:uiPriority w:val="99"/>
    <w:rPr>
      <w:rFonts w:ascii="Times New Roman" w:hAnsi="Times New Roman" w:eastAsia="宋体" w:cs="Times New Roman"/>
      <w:sz w:val="18"/>
      <w:szCs w:val="18"/>
    </w:rPr>
  </w:style>
  <w:style w:type="character" w:customStyle="1" w:styleId="21">
    <w:name w:val="页脚 字符"/>
    <w:basedOn w:val="11"/>
    <w:link w:val="7"/>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3393</Words>
  <Characters>3855</Characters>
  <Lines>30</Lines>
  <Paragraphs>8</Paragraphs>
  <TotalTime>0</TotalTime>
  <ScaleCrop>false</ScaleCrop>
  <LinksUpToDate>false</LinksUpToDate>
  <CharactersWithSpaces>3856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2024-06-21T03:27:00Z</dcterms:created>
  <dc:creator>LI LI</dc:creator>
  <cp:lastModifiedBy>Administrator</cp:lastModifiedBy>
  <dcterms:modified xsi:type="dcterms:W3CDTF">2024-07-09T01:51:50Z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3C2DD96F121C4CB7B61C7F26D5FC5006_12</vt:lpwstr>
  </property>
</Properties>
</file>